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631" w14:textId="46C4AFA0" w:rsidR="007D392C" w:rsidRDefault="005F7CF4" w:rsidP="00E4744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442293A" wp14:editId="7CCC700C">
            <wp:simplePos x="0" y="0"/>
            <wp:positionH relativeFrom="column">
              <wp:posOffset>1234135</wp:posOffset>
            </wp:positionH>
            <wp:positionV relativeFrom="page">
              <wp:posOffset>508305</wp:posOffset>
            </wp:positionV>
            <wp:extent cx="1171575" cy="459105"/>
            <wp:effectExtent l="0" t="0" r="9525" b="0"/>
            <wp:wrapNone/>
            <wp:docPr id="1" name="Image 1" descr="Accueil - OMéDIT PACA-C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- OMéDIT PACA-Cor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92C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8B0D21C" wp14:editId="796F34FD">
            <wp:simplePos x="0" y="0"/>
            <wp:positionH relativeFrom="column">
              <wp:posOffset>-193040</wp:posOffset>
            </wp:positionH>
            <wp:positionV relativeFrom="page">
              <wp:posOffset>482880</wp:posOffset>
            </wp:positionV>
            <wp:extent cx="986155" cy="571500"/>
            <wp:effectExtent l="0" t="0" r="4445" b="0"/>
            <wp:wrapTopAndBottom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6B9">
        <w:rPr>
          <w:noProof/>
        </w:rPr>
        <w:drawing>
          <wp:anchor distT="0" distB="0" distL="114300" distR="114300" simplePos="0" relativeHeight="251661312" behindDoc="0" locked="0" layoutInCell="1" allowOverlap="1" wp14:anchorId="09938C4B" wp14:editId="6C58B0B3">
            <wp:simplePos x="0" y="0"/>
            <wp:positionH relativeFrom="margin">
              <wp:posOffset>2801722</wp:posOffset>
            </wp:positionH>
            <wp:positionV relativeFrom="topMargin">
              <wp:posOffset>453974</wp:posOffset>
            </wp:positionV>
            <wp:extent cx="772160" cy="557530"/>
            <wp:effectExtent l="0" t="0" r="8890" b="0"/>
            <wp:wrapSquare wrapText="bothSides"/>
            <wp:docPr id="2905320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6EFE0" w14:textId="77777777" w:rsidR="00C04657" w:rsidRDefault="009E3E32" w:rsidP="00E47446">
      <w:pPr>
        <w:jc w:val="center"/>
        <w:rPr>
          <w:b/>
        </w:rPr>
      </w:pPr>
      <w:r w:rsidRPr="00E47446">
        <w:rPr>
          <w:b/>
        </w:rPr>
        <w:t>Convention relative à l’organisation de la prise en charge des chimiothérapies injectables en HAD</w:t>
      </w:r>
    </w:p>
    <w:p w14:paraId="761E1FB5" w14:textId="77777777" w:rsidR="00D16BD8" w:rsidRPr="00CF418E" w:rsidRDefault="00D16BD8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>Entre les soussignés :</w:t>
      </w:r>
    </w:p>
    <w:p w14:paraId="070DD82B" w14:textId="331C9792" w:rsidR="00D16BD8" w:rsidRPr="00CF418E" w:rsidRDefault="00D16BD8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 xml:space="preserve">L’établissement </w:t>
      </w:r>
      <w:r w:rsidR="00FD0C03" w:rsidRPr="005D104F">
        <w:rPr>
          <w:rFonts w:cstheme="minorHAnsi"/>
          <w:b/>
        </w:rPr>
        <w:t>autorisé à l’activité de traitement du cancer par Traitements Médicamenteuses Systémiques du Cancer (TMSC</w:t>
      </w:r>
      <w:r w:rsidR="005D104F">
        <w:rPr>
          <w:rFonts w:cstheme="minorHAnsi"/>
          <w:b/>
        </w:rPr>
        <w:t>)</w:t>
      </w:r>
      <w:r w:rsidR="00FD0C03" w:rsidRPr="005D104F">
        <w:rPr>
          <w:rFonts w:cstheme="minorHAnsi"/>
          <w:b/>
        </w:rPr>
        <w:t> </w:t>
      </w:r>
    </w:p>
    <w:p w14:paraId="392AA018" w14:textId="77777777" w:rsidR="00D16BD8" w:rsidRPr="00CF418E" w:rsidRDefault="00D16BD8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>NOM</w:t>
      </w:r>
    </w:p>
    <w:p w14:paraId="6A455D32" w14:textId="4CFBAF04" w:rsidR="00D16BD8" w:rsidRPr="00CF418E" w:rsidRDefault="00BC1175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>Adresse</w:t>
      </w:r>
    </w:p>
    <w:p w14:paraId="25DBB5DF" w14:textId="214BE8D9" w:rsidR="00D16BD8" w:rsidRPr="00CF418E" w:rsidRDefault="00D16BD8" w:rsidP="00F606E6">
      <w:pPr>
        <w:spacing w:after="0"/>
        <w:rPr>
          <w:rFonts w:cstheme="minorHAnsi"/>
        </w:rPr>
      </w:pPr>
      <w:r w:rsidRPr="00CF418E">
        <w:rPr>
          <w:rFonts w:cstheme="minorHAnsi"/>
        </w:rPr>
        <w:t>Représenté par son représentant légal, …………………………….</w:t>
      </w:r>
    </w:p>
    <w:p w14:paraId="78DCE35F" w14:textId="77777777" w:rsidR="00D16BD8" w:rsidRPr="00CF418E" w:rsidRDefault="00D16BD8" w:rsidP="00F606E6">
      <w:pPr>
        <w:spacing w:after="0"/>
        <w:rPr>
          <w:rFonts w:cstheme="minorHAnsi"/>
        </w:rPr>
      </w:pPr>
      <w:r w:rsidRPr="00CF418E">
        <w:rPr>
          <w:rFonts w:cstheme="minorHAnsi"/>
        </w:rPr>
        <w:t>Et</w:t>
      </w:r>
    </w:p>
    <w:p w14:paraId="1F3D152F" w14:textId="7F9549D7" w:rsidR="00D16BD8" w:rsidRPr="00CF418E" w:rsidRDefault="00D16BD8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 xml:space="preserve">L’établissement </w:t>
      </w:r>
      <w:r w:rsidR="00071FAD">
        <w:rPr>
          <w:rFonts w:cstheme="minorHAnsi"/>
          <w:b/>
        </w:rPr>
        <w:t xml:space="preserve">d’HAD </w:t>
      </w:r>
      <w:r w:rsidR="00FD0C03" w:rsidRPr="005D104F">
        <w:rPr>
          <w:rFonts w:cstheme="minorHAnsi"/>
          <w:b/>
        </w:rPr>
        <w:t>associé :</w:t>
      </w:r>
      <w:r w:rsidR="00FD0C03">
        <w:rPr>
          <w:rFonts w:cstheme="minorHAnsi"/>
          <w:b/>
        </w:rPr>
        <w:t xml:space="preserve"> </w:t>
      </w:r>
    </w:p>
    <w:p w14:paraId="056270CA" w14:textId="77777777" w:rsidR="00D16BD8" w:rsidRPr="00CF418E" w:rsidRDefault="00D16BD8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>NOM</w:t>
      </w:r>
    </w:p>
    <w:p w14:paraId="2C8D9827" w14:textId="41EA70C3" w:rsidR="00D16BD8" w:rsidRPr="00CF418E" w:rsidRDefault="00BC1175" w:rsidP="00F606E6">
      <w:pPr>
        <w:spacing w:after="0"/>
        <w:rPr>
          <w:rFonts w:cstheme="minorHAnsi"/>
          <w:b/>
        </w:rPr>
      </w:pPr>
      <w:r w:rsidRPr="00CF418E">
        <w:rPr>
          <w:rFonts w:cstheme="minorHAnsi"/>
          <w:b/>
        </w:rPr>
        <w:t>Adresse</w:t>
      </w:r>
    </w:p>
    <w:p w14:paraId="0ABDE709" w14:textId="6B5A1BB2" w:rsidR="00D16BD8" w:rsidRPr="00CF418E" w:rsidRDefault="00D16BD8" w:rsidP="00F606E6">
      <w:pPr>
        <w:spacing w:after="0"/>
        <w:rPr>
          <w:rFonts w:cstheme="minorHAnsi"/>
        </w:rPr>
      </w:pPr>
      <w:r w:rsidRPr="00CF418E">
        <w:rPr>
          <w:rFonts w:cstheme="minorHAnsi"/>
        </w:rPr>
        <w:t>Représenté par son représentant légal, ……………………………….</w:t>
      </w:r>
    </w:p>
    <w:p w14:paraId="504401E9" w14:textId="77777777" w:rsidR="00D16BD8" w:rsidRPr="00E47446" w:rsidRDefault="00D16BD8" w:rsidP="00F606E6">
      <w:pPr>
        <w:rPr>
          <w:b/>
        </w:rPr>
      </w:pPr>
    </w:p>
    <w:p w14:paraId="275D0F16" w14:textId="77777777" w:rsidR="009E3E32" w:rsidRPr="003D5EC9" w:rsidRDefault="009E3E32" w:rsidP="00F0038D">
      <w:pPr>
        <w:spacing w:after="0" w:line="240" w:lineRule="auto"/>
        <w:jc w:val="both"/>
        <w:rPr>
          <w:b/>
          <w:bCs/>
        </w:rPr>
      </w:pPr>
      <w:r w:rsidRPr="003D5EC9">
        <w:rPr>
          <w:b/>
          <w:bCs/>
        </w:rPr>
        <w:t>Article 1. Objet</w:t>
      </w:r>
    </w:p>
    <w:p w14:paraId="692F489C" w14:textId="34C60D98" w:rsidR="00BE0C3A" w:rsidRPr="005D104F" w:rsidRDefault="00BE0C3A" w:rsidP="00F0038D">
      <w:pPr>
        <w:spacing w:after="0" w:line="240" w:lineRule="auto"/>
        <w:jc w:val="both"/>
      </w:pPr>
      <w:r w:rsidRPr="005D104F">
        <w:t xml:space="preserve">La présente convention a pour objet de définir les engagements spécifiques à chaque établissement permettant de garantir la qualité et la sécurité des soins aux patients bénéficiant de l’administration de </w:t>
      </w:r>
      <w:r w:rsidR="00FD0C03" w:rsidRPr="005D104F">
        <w:t>TMSC</w:t>
      </w:r>
      <w:r w:rsidR="00C35846">
        <w:t xml:space="preserve"> (Traitements Médicamenteux Systémiques du Cancer)</w:t>
      </w:r>
      <w:r w:rsidRPr="005D104F">
        <w:t xml:space="preserve"> injectables à domicile.</w:t>
      </w:r>
    </w:p>
    <w:p w14:paraId="4691E695" w14:textId="25FE88EF" w:rsidR="00BE0C3A" w:rsidRPr="005D104F" w:rsidRDefault="00BE0C3A" w:rsidP="00F0038D">
      <w:pPr>
        <w:spacing w:after="0" w:line="240" w:lineRule="auto"/>
        <w:jc w:val="both"/>
      </w:pPr>
      <w:r w:rsidRPr="005D104F">
        <w:t>Les engagements s’appliquent à tous les professionnels participant à la prise en charge de</w:t>
      </w:r>
      <w:r w:rsidR="00F606E6" w:rsidRPr="005D104F">
        <w:t xml:space="preserve"> ces</w:t>
      </w:r>
      <w:r w:rsidRPr="005D104F">
        <w:t xml:space="preserve"> patients.</w:t>
      </w:r>
    </w:p>
    <w:p w14:paraId="69585322" w14:textId="77777777" w:rsidR="00BE0C3A" w:rsidRDefault="00BE0C3A" w:rsidP="00F0038D">
      <w:pPr>
        <w:spacing w:after="0" w:line="240" w:lineRule="auto"/>
        <w:jc w:val="both"/>
      </w:pPr>
    </w:p>
    <w:p w14:paraId="38188700" w14:textId="044BC1D9" w:rsidR="009E3E32" w:rsidRPr="003D5EC9" w:rsidRDefault="009E3E32" w:rsidP="00F0038D">
      <w:pPr>
        <w:spacing w:after="0" w:line="240" w:lineRule="auto"/>
        <w:jc w:val="both"/>
        <w:rPr>
          <w:b/>
          <w:bCs/>
        </w:rPr>
      </w:pPr>
      <w:r w:rsidRPr="003D5EC9">
        <w:rPr>
          <w:b/>
          <w:bCs/>
        </w:rPr>
        <w:t>Article 2. Engagement des établissements signataires de la convention</w:t>
      </w:r>
    </w:p>
    <w:p w14:paraId="35C44A5F" w14:textId="4778A60C" w:rsidR="005B6DA0" w:rsidRPr="005D104F" w:rsidRDefault="005B6DA0" w:rsidP="00F0038D">
      <w:pPr>
        <w:spacing w:after="0" w:line="240" w:lineRule="auto"/>
        <w:jc w:val="both"/>
      </w:pPr>
      <w:r w:rsidRPr="005D104F">
        <w:t>L’établissement autorisé pour la pratique d</w:t>
      </w:r>
      <w:r w:rsidR="00C35846">
        <w:t>es TMSC</w:t>
      </w:r>
      <w:r w:rsidRPr="005D104F">
        <w:t>, l’établissement HAD ainsi que tout professionnel participant respectivement à la prescription, préparation, dispensation, colisage, transport ainsi qu’à l’administration de traitements anticancéreux injectables à domicile, au suivi et à la surveillance du patient, s’engage à respecter les dispositions décrites ci-après.</w:t>
      </w:r>
    </w:p>
    <w:p w14:paraId="508B0B27" w14:textId="77777777" w:rsidR="005B6DA0" w:rsidRDefault="005B6DA0" w:rsidP="00F0038D">
      <w:pPr>
        <w:spacing w:after="0" w:line="240" w:lineRule="auto"/>
        <w:jc w:val="both"/>
      </w:pPr>
    </w:p>
    <w:p w14:paraId="1FFFD3D5" w14:textId="77777777" w:rsidR="009E3E32" w:rsidRPr="003D5EC9" w:rsidRDefault="009E3E32" w:rsidP="00F0038D">
      <w:pPr>
        <w:spacing w:after="0" w:line="240" w:lineRule="auto"/>
        <w:jc w:val="both"/>
        <w:rPr>
          <w:b/>
          <w:bCs/>
        </w:rPr>
      </w:pPr>
      <w:r w:rsidRPr="003D5EC9">
        <w:rPr>
          <w:b/>
          <w:bCs/>
        </w:rPr>
        <w:t>Article 3. Compétence et devoir de formation des professionnels de santé</w:t>
      </w:r>
    </w:p>
    <w:p w14:paraId="5B9C8B5F" w14:textId="5B46593E" w:rsidR="00AE7350" w:rsidRPr="005D104F" w:rsidRDefault="00AE7350" w:rsidP="00F0038D">
      <w:pPr>
        <w:spacing w:after="0" w:line="240" w:lineRule="auto"/>
        <w:jc w:val="both"/>
      </w:pPr>
      <w:r w:rsidRPr="005D104F">
        <w:t>Les établissements signataires s’engagent à ce que les professionnels participant à la prise en charge des patients sous chimiothérapies injectables à domicile soient formés.</w:t>
      </w:r>
    </w:p>
    <w:p w14:paraId="210A4616" w14:textId="77777777" w:rsidR="003D5EC9" w:rsidRDefault="003D5EC9" w:rsidP="00F0038D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3AB3B4C8" w14:textId="333A0D92" w:rsidR="00AE7350" w:rsidRDefault="00AE7350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Préciser : le programme de formation, les modalités de cette formation (par l’établissement autorisé ? par un organisme de formation ?), la traçabilité des formations pour chacun des professionnels,</w:t>
      </w:r>
      <w:r w:rsidR="0099309D">
        <w:rPr>
          <w:i/>
          <w:iCs/>
          <w:sz w:val="20"/>
          <w:szCs w:val="20"/>
        </w:rPr>
        <w:t xml:space="preserve"> la réévaluation des professionnels à périodicité à définir</w:t>
      </w:r>
      <w:r w:rsidR="0071139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……</w:t>
      </w:r>
    </w:p>
    <w:p w14:paraId="65352807" w14:textId="77777777" w:rsidR="00AE7350" w:rsidRPr="00AE7350" w:rsidRDefault="00AE7350" w:rsidP="00F0038D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346E5B23" w14:textId="77777777" w:rsidR="009E3E32" w:rsidRPr="003D5EC9" w:rsidRDefault="009E3E32" w:rsidP="00F0038D">
      <w:pPr>
        <w:spacing w:after="0" w:line="240" w:lineRule="auto"/>
        <w:jc w:val="both"/>
        <w:rPr>
          <w:b/>
          <w:bCs/>
        </w:rPr>
      </w:pPr>
      <w:r w:rsidRPr="003D5EC9">
        <w:rPr>
          <w:b/>
          <w:bCs/>
        </w:rPr>
        <w:t xml:space="preserve">Article 4 : </w:t>
      </w:r>
      <w:r w:rsidRPr="00EF2845">
        <w:rPr>
          <w:b/>
          <w:bCs/>
        </w:rPr>
        <w:t>L’information et le consentement du patient</w:t>
      </w:r>
    </w:p>
    <w:p w14:paraId="5E1A66B8" w14:textId="5541D198" w:rsidR="0071139F" w:rsidRPr="005D104F" w:rsidRDefault="0071139F" w:rsidP="00F0038D">
      <w:pPr>
        <w:spacing w:after="0" w:line="240" w:lineRule="auto"/>
        <w:jc w:val="both"/>
      </w:pPr>
      <w:r w:rsidRPr="005D104F">
        <w:t>Le patient est informé par le médecin prescripteur hospitalier des modalités de prise en charge de la chimiothérapie à domicile</w:t>
      </w:r>
      <w:r w:rsidR="003D5EC9" w:rsidRPr="005D104F">
        <w:t xml:space="preserve">. Le prescripteur détaillera les modalités d’administration des médicaments et les éventuels effets secondaires. Le patient </w:t>
      </w:r>
      <w:r w:rsidRPr="005D104F">
        <w:t>est libre d’accepter ou refuser cette prise en charge. Son consentement écrit sera recueilli en l’informant qu’il peut revenir à tout moment sur son choix.</w:t>
      </w:r>
      <w:r w:rsidR="003D5EC9" w:rsidRPr="005D104F">
        <w:t xml:space="preserve"> Les coordonnées des professionnels référents (établissement autorisé ET HAD) sont communiquées au patient.</w:t>
      </w:r>
    </w:p>
    <w:p w14:paraId="13D25A41" w14:textId="77777777" w:rsidR="0071139F" w:rsidRDefault="0071139F" w:rsidP="00F0038D">
      <w:pPr>
        <w:spacing w:after="0" w:line="240" w:lineRule="auto"/>
        <w:jc w:val="both"/>
      </w:pPr>
    </w:p>
    <w:p w14:paraId="44692A5A" w14:textId="77777777" w:rsidR="001B6A31" w:rsidRDefault="001B6A31" w:rsidP="00F0038D">
      <w:pPr>
        <w:spacing w:after="0" w:line="240" w:lineRule="auto"/>
        <w:jc w:val="both"/>
        <w:rPr>
          <w:b/>
          <w:bCs/>
        </w:rPr>
      </w:pPr>
    </w:p>
    <w:p w14:paraId="08AB0F81" w14:textId="1C3550CB" w:rsidR="009E3E32" w:rsidRPr="00DA7A12" w:rsidRDefault="009E3E32" w:rsidP="00F0038D">
      <w:pPr>
        <w:spacing w:after="0" w:line="240" w:lineRule="auto"/>
        <w:jc w:val="both"/>
        <w:rPr>
          <w:b/>
          <w:bCs/>
        </w:rPr>
      </w:pPr>
      <w:r w:rsidRPr="00DA7A12">
        <w:rPr>
          <w:b/>
          <w:bCs/>
        </w:rPr>
        <w:t xml:space="preserve">Article 5. </w:t>
      </w:r>
      <w:r w:rsidRPr="005D104F">
        <w:rPr>
          <w:b/>
          <w:bCs/>
        </w:rPr>
        <w:t>Coordination et continuité des soins</w:t>
      </w:r>
    </w:p>
    <w:p w14:paraId="0386B3BA" w14:textId="77777777" w:rsidR="005D104F" w:rsidRDefault="005D104F" w:rsidP="00F0038D">
      <w:pPr>
        <w:spacing w:after="0" w:line="240" w:lineRule="auto"/>
        <w:jc w:val="both"/>
        <w:rPr>
          <w:i/>
          <w:iCs/>
        </w:rPr>
      </w:pPr>
    </w:p>
    <w:p w14:paraId="47BDA560" w14:textId="7D98D69D" w:rsidR="008B6D33" w:rsidRPr="005D104F" w:rsidRDefault="008B6D33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5D104F">
        <w:rPr>
          <w:i/>
          <w:iCs/>
          <w:sz w:val="20"/>
          <w:szCs w:val="20"/>
        </w:rPr>
        <w:t>Décrire comment sont organisées la coordination des soins et</w:t>
      </w:r>
      <w:r w:rsidR="005D104F">
        <w:rPr>
          <w:i/>
          <w:iCs/>
          <w:sz w:val="20"/>
          <w:szCs w:val="20"/>
        </w:rPr>
        <w:t xml:space="preserve"> l</w:t>
      </w:r>
      <w:r w:rsidRPr="005D104F">
        <w:rPr>
          <w:i/>
          <w:iCs/>
          <w:sz w:val="20"/>
          <w:szCs w:val="20"/>
        </w:rPr>
        <w:t>a continuité</w:t>
      </w:r>
      <w:r w:rsidR="005D104F">
        <w:rPr>
          <w:i/>
          <w:iCs/>
          <w:sz w:val="20"/>
          <w:szCs w:val="20"/>
        </w:rPr>
        <w:t xml:space="preserve"> des soins</w:t>
      </w:r>
    </w:p>
    <w:p w14:paraId="4E768DA4" w14:textId="68C7300E" w:rsidR="008B6D33" w:rsidRPr="005D104F" w:rsidRDefault="003937F6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5D104F">
        <w:rPr>
          <w:i/>
          <w:iCs/>
          <w:sz w:val="20"/>
          <w:szCs w:val="20"/>
        </w:rPr>
        <w:t xml:space="preserve">Transmission </w:t>
      </w:r>
      <w:r w:rsidR="00071FAD">
        <w:rPr>
          <w:i/>
          <w:iCs/>
          <w:sz w:val="20"/>
          <w:szCs w:val="20"/>
        </w:rPr>
        <w:t xml:space="preserve">et partage </w:t>
      </w:r>
      <w:r w:rsidRPr="005D104F">
        <w:rPr>
          <w:i/>
          <w:iCs/>
          <w:sz w:val="20"/>
          <w:szCs w:val="20"/>
        </w:rPr>
        <w:t>du dossier patient</w:t>
      </w:r>
      <w:r w:rsidR="005B6DA0" w:rsidRPr="005D104F">
        <w:rPr>
          <w:i/>
          <w:iCs/>
          <w:sz w:val="20"/>
          <w:szCs w:val="20"/>
        </w:rPr>
        <w:t xml:space="preserve">, du </w:t>
      </w:r>
      <w:r w:rsidRPr="005D104F">
        <w:rPr>
          <w:i/>
          <w:iCs/>
          <w:sz w:val="20"/>
          <w:szCs w:val="20"/>
        </w:rPr>
        <w:t xml:space="preserve">PPS, </w:t>
      </w:r>
      <w:r w:rsidR="005B6DA0" w:rsidRPr="005D104F">
        <w:rPr>
          <w:i/>
          <w:iCs/>
          <w:sz w:val="20"/>
          <w:szCs w:val="20"/>
        </w:rPr>
        <w:t xml:space="preserve">des </w:t>
      </w:r>
      <w:r w:rsidRPr="005D104F">
        <w:rPr>
          <w:i/>
          <w:iCs/>
          <w:sz w:val="20"/>
          <w:szCs w:val="20"/>
        </w:rPr>
        <w:t xml:space="preserve">prescriptions médicamenteuses et des produits de santé, </w:t>
      </w:r>
      <w:r w:rsidR="005B6DA0" w:rsidRPr="005D104F">
        <w:rPr>
          <w:i/>
          <w:iCs/>
          <w:sz w:val="20"/>
          <w:szCs w:val="20"/>
        </w:rPr>
        <w:t xml:space="preserve">des </w:t>
      </w:r>
      <w:r w:rsidRPr="005D104F">
        <w:rPr>
          <w:i/>
          <w:iCs/>
          <w:sz w:val="20"/>
          <w:szCs w:val="20"/>
        </w:rPr>
        <w:t>modalités d’administration</w:t>
      </w:r>
      <w:r w:rsidR="005B6DA0" w:rsidRPr="005D104F">
        <w:rPr>
          <w:i/>
          <w:iCs/>
          <w:sz w:val="20"/>
          <w:szCs w:val="20"/>
        </w:rPr>
        <w:t xml:space="preserve"> et de surveillance</w:t>
      </w:r>
      <w:r w:rsidR="00071FAD">
        <w:rPr>
          <w:i/>
          <w:iCs/>
          <w:sz w:val="20"/>
          <w:szCs w:val="20"/>
        </w:rPr>
        <w:t>, …</w:t>
      </w:r>
    </w:p>
    <w:p w14:paraId="0848950C" w14:textId="033EDF10" w:rsidR="003937F6" w:rsidRDefault="003937F6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187C5C">
        <w:rPr>
          <w:i/>
          <w:iCs/>
          <w:sz w:val="20"/>
          <w:szCs w:val="20"/>
        </w:rPr>
        <w:lastRenderedPageBreak/>
        <w:t xml:space="preserve">Continuité des soins : engagement de l’HAD sur la </w:t>
      </w:r>
      <w:r w:rsidR="00EF2845" w:rsidRPr="00187C5C">
        <w:rPr>
          <w:i/>
          <w:iCs/>
          <w:sz w:val="20"/>
          <w:szCs w:val="20"/>
        </w:rPr>
        <w:t>disponibilité</w:t>
      </w:r>
      <w:r w:rsidRPr="00187C5C">
        <w:rPr>
          <w:i/>
          <w:iCs/>
          <w:sz w:val="20"/>
          <w:szCs w:val="20"/>
        </w:rPr>
        <w:t xml:space="preserve"> médicale 24h/24 et 7j/7, </w:t>
      </w:r>
      <w:r w:rsidR="00EF2845" w:rsidRPr="00187C5C">
        <w:rPr>
          <w:i/>
          <w:iCs/>
          <w:sz w:val="20"/>
          <w:szCs w:val="20"/>
        </w:rPr>
        <w:t xml:space="preserve">préciser les </w:t>
      </w:r>
      <w:r w:rsidRPr="00187C5C">
        <w:rPr>
          <w:i/>
          <w:iCs/>
          <w:sz w:val="20"/>
          <w:szCs w:val="20"/>
        </w:rPr>
        <w:t xml:space="preserve">modalités de contact entre les </w:t>
      </w:r>
      <w:r w:rsidR="00071FAD">
        <w:rPr>
          <w:i/>
          <w:iCs/>
          <w:sz w:val="20"/>
          <w:szCs w:val="20"/>
        </w:rPr>
        <w:t>professionnels de santé (</w:t>
      </w:r>
      <w:r w:rsidRPr="00187C5C">
        <w:rPr>
          <w:i/>
          <w:iCs/>
          <w:sz w:val="20"/>
          <w:szCs w:val="20"/>
        </w:rPr>
        <w:t>PS</w:t>
      </w:r>
      <w:r w:rsidR="00071FAD">
        <w:rPr>
          <w:i/>
          <w:iCs/>
          <w:sz w:val="20"/>
          <w:szCs w:val="20"/>
        </w:rPr>
        <w:t>)</w:t>
      </w:r>
    </w:p>
    <w:p w14:paraId="4FC2B1B1" w14:textId="374DBD6F" w:rsidR="00071FAD" w:rsidRPr="00187C5C" w:rsidRDefault="00071FAD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Préciser quels sont les PS à contacter en cas d’effet indésirable en dehors de l’hospitalisation HAD</w:t>
      </w:r>
    </w:p>
    <w:p w14:paraId="5C5E6E08" w14:textId="75461C3F" w:rsidR="008B6D33" w:rsidRPr="00187C5C" w:rsidRDefault="000775E3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187C5C">
        <w:rPr>
          <w:i/>
          <w:iCs/>
          <w:sz w:val="20"/>
          <w:szCs w:val="20"/>
        </w:rPr>
        <w:t>Engagement sur les déclarations d’EI et analyse en pluriprofessionnel</w:t>
      </w:r>
      <w:r w:rsidR="00187C5C" w:rsidRPr="00187C5C">
        <w:rPr>
          <w:i/>
          <w:iCs/>
          <w:sz w:val="20"/>
          <w:szCs w:val="20"/>
        </w:rPr>
        <w:t xml:space="preserve"> : décrire l’organisation (modalités de déclaration, transmission des EI, plans d’actions et </w:t>
      </w:r>
      <w:r w:rsidR="00DC4412" w:rsidRPr="00187C5C">
        <w:rPr>
          <w:i/>
          <w:iCs/>
          <w:sz w:val="20"/>
          <w:szCs w:val="20"/>
        </w:rPr>
        <w:t>suivi, …</w:t>
      </w:r>
      <w:r w:rsidR="00187C5C" w:rsidRPr="00187C5C">
        <w:rPr>
          <w:i/>
          <w:iCs/>
          <w:sz w:val="20"/>
          <w:szCs w:val="20"/>
        </w:rPr>
        <w:t>)</w:t>
      </w:r>
    </w:p>
    <w:p w14:paraId="54354D42" w14:textId="77777777" w:rsidR="008B6D33" w:rsidRDefault="008B6D33" w:rsidP="00F0038D">
      <w:pPr>
        <w:spacing w:after="0" w:line="240" w:lineRule="auto"/>
        <w:jc w:val="both"/>
      </w:pPr>
    </w:p>
    <w:p w14:paraId="257E8DC6" w14:textId="147D6BEC" w:rsidR="009E3E32" w:rsidRPr="00DA7A12" w:rsidRDefault="009E3E32" w:rsidP="00F0038D">
      <w:pPr>
        <w:spacing w:after="0" w:line="240" w:lineRule="auto"/>
        <w:jc w:val="both"/>
        <w:rPr>
          <w:b/>
          <w:bCs/>
        </w:rPr>
      </w:pPr>
      <w:r w:rsidRPr="00DA7A12">
        <w:rPr>
          <w:b/>
          <w:bCs/>
        </w:rPr>
        <w:t xml:space="preserve">Article 6 : Documents à </w:t>
      </w:r>
      <w:r w:rsidR="00EF2845">
        <w:rPr>
          <w:b/>
          <w:bCs/>
        </w:rPr>
        <w:t xml:space="preserve">rédiger </w:t>
      </w:r>
    </w:p>
    <w:p w14:paraId="158DE323" w14:textId="77777777" w:rsidR="00EF2845" w:rsidRDefault="009E3E32" w:rsidP="00F0038D">
      <w:pPr>
        <w:spacing w:after="0" w:line="240" w:lineRule="auto"/>
        <w:jc w:val="both"/>
      </w:pPr>
      <w:r>
        <w:tab/>
      </w:r>
      <w:r w:rsidR="00EF2845">
        <w:t>Le recueil de consentement</w:t>
      </w:r>
    </w:p>
    <w:p w14:paraId="0311AA78" w14:textId="57EC0BCF" w:rsidR="009E3E32" w:rsidRDefault="009E3E32" w:rsidP="00F0038D">
      <w:pPr>
        <w:spacing w:after="0" w:line="240" w:lineRule="auto"/>
        <w:ind w:firstLine="708"/>
        <w:jc w:val="both"/>
      </w:pPr>
      <w:r>
        <w:t>L'ordonnance de prescription de la chimiothérapie</w:t>
      </w:r>
    </w:p>
    <w:p w14:paraId="57C56049" w14:textId="77777777" w:rsidR="009E3E32" w:rsidRDefault="009E3E32" w:rsidP="00F0038D">
      <w:pPr>
        <w:spacing w:after="0" w:line="240" w:lineRule="auto"/>
        <w:ind w:firstLine="708"/>
        <w:jc w:val="both"/>
      </w:pPr>
      <w:r>
        <w:t>Les modalités de surveillance</w:t>
      </w:r>
    </w:p>
    <w:p w14:paraId="4A0BAE2F" w14:textId="77777777" w:rsidR="009E3E32" w:rsidRDefault="009E3E32" w:rsidP="00F0038D">
      <w:pPr>
        <w:spacing w:after="0" w:line="240" w:lineRule="auto"/>
        <w:ind w:firstLine="708"/>
        <w:jc w:val="both"/>
      </w:pPr>
      <w:r>
        <w:t>Les modalités de transport des médicaments au domicile</w:t>
      </w:r>
    </w:p>
    <w:p w14:paraId="3D260D80" w14:textId="77777777" w:rsidR="009E3E32" w:rsidRDefault="009E3E32" w:rsidP="00F0038D">
      <w:pPr>
        <w:spacing w:after="0" w:line="240" w:lineRule="auto"/>
        <w:ind w:firstLine="708"/>
        <w:jc w:val="both"/>
      </w:pPr>
      <w:r>
        <w:t xml:space="preserve">Les procédures suivantes : </w:t>
      </w:r>
    </w:p>
    <w:p w14:paraId="77E0CBD3" w14:textId="77777777" w:rsidR="00B41FD4" w:rsidRDefault="009E3E32" w:rsidP="00F0038D">
      <w:pPr>
        <w:spacing w:after="0" w:line="240" w:lineRule="auto"/>
        <w:ind w:left="1416"/>
        <w:jc w:val="both"/>
      </w:pPr>
      <w:r>
        <w:t>Modalités du</w:t>
      </w:r>
      <w:r w:rsidR="00B41FD4">
        <w:t xml:space="preserve"> « feu</w:t>
      </w:r>
      <w:r>
        <w:t xml:space="preserve"> vert </w:t>
      </w:r>
      <w:r w:rsidR="00B41FD4">
        <w:t>médical »</w:t>
      </w:r>
      <w:r>
        <w:t xml:space="preserve"> et du</w:t>
      </w:r>
      <w:r w:rsidR="00B41FD4">
        <w:t xml:space="preserve"> « feu</w:t>
      </w:r>
      <w:r>
        <w:t xml:space="preserve"> vert </w:t>
      </w:r>
      <w:r w:rsidR="00B41FD4">
        <w:t>IDE »</w:t>
      </w:r>
      <w:r>
        <w:t xml:space="preserve"> </w:t>
      </w:r>
    </w:p>
    <w:p w14:paraId="05F8662D" w14:textId="77777777" w:rsidR="00110188" w:rsidRDefault="00110188" w:rsidP="00F0038D">
      <w:pPr>
        <w:spacing w:after="0" w:line="240" w:lineRule="auto"/>
        <w:ind w:left="1416"/>
        <w:jc w:val="both"/>
      </w:pPr>
      <w:r>
        <w:t>Modalités de traçabilité d’administration</w:t>
      </w:r>
    </w:p>
    <w:p w14:paraId="25747E07" w14:textId="77777777" w:rsidR="009E3E32" w:rsidRDefault="009E3E32" w:rsidP="00F0038D">
      <w:pPr>
        <w:spacing w:after="0" w:line="240" w:lineRule="auto"/>
        <w:ind w:left="1416"/>
        <w:jc w:val="both"/>
      </w:pPr>
      <w:r>
        <w:t xml:space="preserve">Conduite à tenir en cas d’extravasation </w:t>
      </w:r>
    </w:p>
    <w:p w14:paraId="0113966F" w14:textId="77777777" w:rsidR="009E3E32" w:rsidRDefault="009E3E32" w:rsidP="00F0038D">
      <w:pPr>
        <w:spacing w:after="0" w:line="240" w:lineRule="auto"/>
        <w:ind w:left="1416"/>
        <w:jc w:val="both"/>
      </w:pPr>
      <w:r>
        <w:t>Conduite à tenir en cas d’incident avec un médicament anticancéreux</w:t>
      </w:r>
    </w:p>
    <w:p w14:paraId="677EC32A" w14:textId="77777777" w:rsidR="00BB45FD" w:rsidRDefault="009E3E32" w:rsidP="00F0038D">
      <w:pPr>
        <w:spacing w:after="0" w:line="240" w:lineRule="auto"/>
        <w:ind w:left="1416"/>
        <w:jc w:val="both"/>
      </w:pPr>
      <w:r>
        <w:t>Procédure de ré-hospitalisation en cas d’ef</w:t>
      </w:r>
      <w:r w:rsidR="00BB45FD">
        <w:t xml:space="preserve">fets indésirables graves </w:t>
      </w:r>
    </w:p>
    <w:p w14:paraId="05120DDC" w14:textId="77777777" w:rsidR="009E3E32" w:rsidRDefault="009E3E32" w:rsidP="00F0038D">
      <w:pPr>
        <w:spacing w:after="0" w:line="240" w:lineRule="auto"/>
        <w:ind w:left="1416"/>
        <w:jc w:val="both"/>
      </w:pPr>
      <w:r>
        <w:t xml:space="preserve">Procédure de gestion des déchets </w:t>
      </w:r>
    </w:p>
    <w:p w14:paraId="6A9BD628" w14:textId="1A6055FF" w:rsidR="0000633F" w:rsidRDefault="0000633F" w:rsidP="00F0038D">
      <w:pPr>
        <w:spacing w:after="0" w:line="240" w:lineRule="auto"/>
        <w:ind w:left="1416"/>
        <w:jc w:val="both"/>
      </w:pPr>
      <w:r>
        <w:t>Procédure de retour des TMSC non administrés</w:t>
      </w:r>
    </w:p>
    <w:p w14:paraId="20AA6992" w14:textId="77777777" w:rsidR="009E3E32" w:rsidRDefault="009E3E32" w:rsidP="00F0038D">
      <w:pPr>
        <w:spacing w:after="0" w:line="240" w:lineRule="auto"/>
        <w:ind w:firstLine="708"/>
        <w:jc w:val="both"/>
      </w:pPr>
      <w:r>
        <w:t>Les coordonnées utiles des différents intervenants</w:t>
      </w:r>
    </w:p>
    <w:p w14:paraId="131731EE" w14:textId="77777777" w:rsidR="00EF2845" w:rsidRDefault="00EF2845" w:rsidP="00F0038D">
      <w:pPr>
        <w:spacing w:after="0" w:line="240" w:lineRule="auto"/>
        <w:jc w:val="both"/>
      </w:pPr>
    </w:p>
    <w:p w14:paraId="4678AFD3" w14:textId="1DB69320" w:rsidR="00EF2845" w:rsidRPr="00EF2845" w:rsidRDefault="00EF2845" w:rsidP="00F0038D">
      <w:pPr>
        <w:spacing w:after="0" w:line="240" w:lineRule="auto"/>
        <w:jc w:val="both"/>
      </w:pPr>
      <w:r w:rsidRPr="00EF2845">
        <w:t>Ces documents doivent être consultables par tous les professionnels de santé impliqués dans ce parcours de soin (établissement autorisé et établissement associé)</w:t>
      </w:r>
      <w:r w:rsidR="00DC4412">
        <w:t>.</w:t>
      </w:r>
    </w:p>
    <w:p w14:paraId="71EDAFA8" w14:textId="77777777" w:rsidR="00EF2845" w:rsidRDefault="00EF2845" w:rsidP="00F0038D">
      <w:pPr>
        <w:spacing w:after="0" w:line="240" w:lineRule="auto"/>
        <w:jc w:val="both"/>
      </w:pPr>
    </w:p>
    <w:p w14:paraId="38DB4516" w14:textId="37D79BEA" w:rsidR="00FA34E1" w:rsidRPr="00187C5C" w:rsidRDefault="00FA34E1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187C5C">
        <w:rPr>
          <w:i/>
          <w:iCs/>
          <w:sz w:val="20"/>
          <w:szCs w:val="20"/>
        </w:rPr>
        <w:t>Décrire, pour chacun de ces documents, les</w:t>
      </w:r>
      <w:r w:rsidR="00187C5C">
        <w:rPr>
          <w:i/>
          <w:iCs/>
          <w:sz w:val="20"/>
          <w:szCs w:val="20"/>
        </w:rPr>
        <w:t xml:space="preserve"> rôles, organisation et responsabilité</w:t>
      </w:r>
      <w:r w:rsidRPr="00187C5C">
        <w:rPr>
          <w:i/>
          <w:iCs/>
          <w:sz w:val="20"/>
          <w:szCs w:val="20"/>
        </w:rPr>
        <w:t>s entre les 2 structures de soins (établissement autorisé et HAD)</w:t>
      </w:r>
    </w:p>
    <w:p w14:paraId="39C30C53" w14:textId="77777777" w:rsidR="00FA34E1" w:rsidRDefault="00FA34E1" w:rsidP="00F0038D">
      <w:pPr>
        <w:spacing w:after="0" w:line="240" w:lineRule="auto"/>
        <w:jc w:val="both"/>
      </w:pPr>
    </w:p>
    <w:p w14:paraId="030AA982" w14:textId="77777777" w:rsidR="00FA34E1" w:rsidRDefault="00FA34E1" w:rsidP="00F0038D">
      <w:pPr>
        <w:spacing w:after="0" w:line="240" w:lineRule="auto"/>
        <w:jc w:val="both"/>
      </w:pPr>
    </w:p>
    <w:p w14:paraId="44A0C5CE" w14:textId="77777777" w:rsidR="009E3E32" w:rsidRDefault="009E3E32" w:rsidP="00F0038D">
      <w:pPr>
        <w:spacing w:after="0" w:line="240" w:lineRule="auto"/>
        <w:jc w:val="both"/>
        <w:rPr>
          <w:b/>
          <w:bCs/>
        </w:rPr>
      </w:pPr>
      <w:r w:rsidRPr="00DA7A12">
        <w:rPr>
          <w:b/>
          <w:bCs/>
        </w:rPr>
        <w:t xml:space="preserve">Article 7 </w:t>
      </w:r>
      <w:r w:rsidRPr="00A976B9">
        <w:rPr>
          <w:b/>
          <w:bCs/>
        </w:rPr>
        <w:t xml:space="preserve">: Prescription, « feu vert </w:t>
      </w:r>
      <w:r w:rsidR="00B41FD4" w:rsidRPr="00A976B9">
        <w:rPr>
          <w:b/>
          <w:bCs/>
        </w:rPr>
        <w:t>médical »</w:t>
      </w:r>
      <w:r w:rsidRPr="00A976B9">
        <w:rPr>
          <w:b/>
          <w:bCs/>
        </w:rPr>
        <w:t xml:space="preserve">, « feu vert </w:t>
      </w:r>
      <w:r w:rsidR="00B41FD4" w:rsidRPr="00A976B9">
        <w:rPr>
          <w:b/>
          <w:bCs/>
        </w:rPr>
        <w:t>IDE »</w:t>
      </w:r>
    </w:p>
    <w:p w14:paraId="16AB3183" w14:textId="4D62B318" w:rsidR="00B73B9D" w:rsidRPr="00A976B9" w:rsidRDefault="00EF2845" w:rsidP="00F0038D">
      <w:pPr>
        <w:spacing w:after="0" w:line="240" w:lineRule="auto"/>
        <w:jc w:val="both"/>
      </w:pPr>
      <w:r w:rsidRPr="00EF2845">
        <w:t xml:space="preserve">La prescription des </w:t>
      </w:r>
      <w:r w:rsidR="00B73B9D" w:rsidRPr="00A976B9">
        <w:t>TMSC</w:t>
      </w:r>
      <w:r w:rsidRPr="00EF2845">
        <w:t xml:space="preserve"> est réalisée par un médecin spécialiste en cancérologie exerçant dans un établissement de santé autorisé pour le traitement du cancer par </w:t>
      </w:r>
      <w:r w:rsidR="00C35846">
        <w:t>TMSC.</w:t>
      </w:r>
      <w:r w:rsidRPr="00EF2845">
        <w:t xml:space="preserve"> </w:t>
      </w:r>
    </w:p>
    <w:p w14:paraId="410B0558" w14:textId="77777777" w:rsidR="00A976B9" w:rsidRDefault="00A976B9" w:rsidP="00F0038D">
      <w:pPr>
        <w:spacing w:after="0" w:line="240" w:lineRule="auto"/>
        <w:jc w:val="both"/>
        <w:rPr>
          <w:b/>
          <w:bCs/>
        </w:rPr>
      </w:pPr>
    </w:p>
    <w:p w14:paraId="2F6AB418" w14:textId="09CE3418" w:rsidR="00EF2845" w:rsidRPr="00EF2845" w:rsidRDefault="00EF2845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EF2845">
        <w:rPr>
          <w:i/>
          <w:iCs/>
          <w:sz w:val="20"/>
          <w:szCs w:val="20"/>
        </w:rPr>
        <w:t>Préciser comment la prescription est transmise à l’HAD (dans le cas où le médecin prescripteur de l’ES donne le</w:t>
      </w:r>
      <w:r w:rsidR="00071FAD" w:rsidRPr="00EF2845">
        <w:rPr>
          <w:i/>
          <w:iCs/>
          <w:sz w:val="20"/>
          <w:szCs w:val="20"/>
        </w:rPr>
        <w:t xml:space="preserve"> « feu</w:t>
      </w:r>
      <w:r w:rsidRPr="00EF2845">
        <w:rPr>
          <w:i/>
          <w:iCs/>
          <w:sz w:val="20"/>
          <w:szCs w:val="20"/>
        </w:rPr>
        <w:t xml:space="preserve"> vert </w:t>
      </w:r>
      <w:proofErr w:type="gramStart"/>
      <w:r w:rsidRPr="00EF2845">
        <w:rPr>
          <w:i/>
          <w:iCs/>
          <w:sz w:val="20"/>
          <w:szCs w:val="20"/>
        </w:rPr>
        <w:t>médical»</w:t>
      </w:r>
      <w:proofErr w:type="gramEnd"/>
      <w:r w:rsidRPr="00EF2845">
        <w:rPr>
          <w:i/>
          <w:iCs/>
          <w:sz w:val="20"/>
          <w:szCs w:val="20"/>
        </w:rPr>
        <w:t xml:space="preserve"> ou «OK chimio» et/ou le méd</w:t>
      </w:r>
      <w:r w:rsidR="00A976B9" w:rsidRPr="00A976B9">
        <w:rPr>
          <w:i/>
          <w:iCs/>
          <w:sz w:val="20"/>
          <w:szCs w:val="20"/>
        </w:rPr>
        <w:t>e</w:t>
      </w:r>
      <w:r w:rsidRPr="00EF2845">
        <w:rPr>
          <w:i/>
          <w:iCs/>
          <w:sz w:val="20"/>
          <w:szCs w:val="20"/>
        </w:rPr>
        <w:t>cin prescripteur de l’ES ne le donne pas) et comment la prescription est transmise de l’HAD à l’IDE en charge de l’administration. Décrire les traçabilités des différents</w:t>
      </w:r>
      <w:r w:rsidR="00071FAD" w:rsidRPr="00EF2845">
        <w:rPr>
          <w:i/>
          <w:iCs/>
          <w:sz w:val="20"/>
          <w:szCs w:val="20"/>
        </w:rPr>
        <w:t xml:space="preserve"> « feux</w:t>
      </w:r>
      <w:r w:rsidRPr="00EF2845">
        <w:rPr>
          <w:i/>
          <w:iCs/>
          <w:sz w:val="20"/>
          <w:szCs w:val="20"/>
        </w:rPr>
        <w:t xml:space="preserve"> </w:t>
      </w:r>
      <w:proofErr w:type="gramStart"/>
      <w:r w:rsidRPr="00EF2845">
        <w:rPr>
          <w:i/>
          <w:iCs/>
          <w:sz w:val="20"/>
          <w:szCs w:val="20"/>
        </w:rPr>
        <w:t>verts»</w:t>
      </w:r>
      <w:proofErr w:type="gramEnd"/>
      <w:r w:rsidRPr="00EF2845">
        <w:rPr>
          <w:i/>
          <w:iCs/>
          <w:sz w:val="20"/>
          <w:szCs w:val="20"/>
        </w:rPr>
        <w:t xml:space="preserve">. </w:t>
      </w:r>
    </w:p>
    <w:p w14:paraId="582925DF" w14:textId="77777777" w:rsidR="00EF2845" w:rsidRPr="00DA7A12" w:rsidRDefault="00EF2845" w:rsidP="00F0038D">
      <w:pPr>
        <w:spacing w:after="0" w:line="240" w:lineRule="auto"/>
        <w:jc w:val="both"/>
        <w:rPr>
          <w:b/>
          <w:bCs/>
        </w:rPr>
      </w:pPr>
    </w:p>
    <w:p w14:paraId="66D1396A" w14:textId="77777777" w:rsidR="009E3E32" w:rsidRPr="00DA7A12" w:rsidRDefault="009E3E32" w:rsidP="00F0038D">
      <w:pPr>
        <w:spacing w:after="0" w:line="240" w:lineRule="auto"/>
        <w:jc w:val="both"/>
        <w:rPr>
          <w:b/>
          <w:bCs/>
        </w:rPr>
      </w:pPr>
      <w:r w:rsidRPr="009C7B1F">
        <w:rPr>
          <w:b/>
          <w:bCs/>
        </w:rPr>
        <w:t>Article 8 : Réalisation de la préparation à la PUI</w:t>
      </w:r>
    </w:p>
    <w:p w14:paraId="03947F96" w14:textId="77777777" w:rsidR="00BB45FD" w:rsidRDefault="00BB45FD" w:rsidP="00F0038D">
      <w:pPr>
        <w:spacing w:after="0" w:line="240" w:lineRule="auto"/>
        <w:jc w:val="both"/>
      </w:pPr>
      <w:r>
        <w:tab/>
      </w:r>
      <w:r>
        <w:tab/>
        <w:t>Dispensation</w:t>
      </w:r>
    </w:p>
    <w:p w14:paraId="72EF5C6E" w14:textId="77777777" w:rsidR="00BB45FD" w:rsidRDefault="00BB45FD" w:rsidP="00F0038D">
      <w:pPr>
        <w:spacing w:after="0" w:line="240" w:lineRule="auto"/>
        <w:jc w:val="both"/>
      </w:pPr>
      <w:r>
        <w:tab/>
      </w:r>
      <w:r>
        <w:tab/>
        <w:t>Validation pharmaceutique</w:t>
      </w:r>
    </w:p>
    <w:p w14:paraId="390417E6" w14:textId="77777777" w:rsidR="009C7B1F" w:rsidRDefault="009C7B1F" w:rsidP="00F0038D">
      <w:pPr>
        <w:spacing w:after="0" w:line="240" w:lineRule="auto"/>
        <w:jc w:val="both"/>
        <w:rPr>
          <w:i/>
          <w:iCs/>
        </w:rPr>
      </w:pPr>
    </w:p>
    <w:p w14:paraId="7D6BAB1E" w14:textId="44701BF6" w:rsidR="00B73B9D" w:rsidRPr="009C7B1F" w:rsidRDefault="00B73B9D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9C7B1F">
        <w:rPr>
          <w:i/>
          <w:iCs/>
          <w:sz w:val="20"/>
          <w:szCs w:val="20"/>
        </w:rPr>
        <w:t xml:space="preserve">Préciser uniquement les organisations particulières </w:t>
      </w:r>
      <w:r w:rsidR="009C7B1F">
        <w:rPr>
          <w:i/>
          <w:iCs/>
          <w:sz w:val="20"/>
          <w:szCs w:val="20"/>
        </w:rPr>
        <w:t xml:space="preserve">mises en place dans la PUI de l’établissement autorisé </w:t>
      </w:r>
      <w:r w:rsidRPr="009C7B1F">
        <w:rPr>
          <w:i/>
          <w:iCs/>
          <w:sz w:val="20"/>
          <w:szCs w:val="20"/>
        </w:rPr>
        <w:t>en cas de préparation pour l’HAD</w:t>
      </w:r>
    </w:p>
    <w:p w14:paraId="63B9D7FA" w14:textId="77777777" w:rsidR="00BB45FD" w:rsidRDefault="00BB45FD" w:rsidP="00F0038D">
      <w:pPr>
        <w:spacing w:after="0" w:line="240" w:lineRule="auto"/>
        <w:jc w:val="both"/>
      </w:pPr>
    </w:p>
    <w:p w14:paraId="6B9F80F0" w14:textId="7A7BBA1A" w:rsidR="009E3E32" w:rsidRPr="00DA7A12" w:rsidRDefault="009E3E32" w:rsidP="00F0038D">
      <w:pPr>
        <w:spacing w:after="0" w:line="240" w:lineRule="auto"/>
        <w:jc w:val="both"/>
        <w:rPr>
          <w:b/>
          <w:bCs/>
        </w:rPr>
      </w:pPr>
      <w:r w:rsidRPr="00DA7A12">
        <w:rPr>
          <w:b/>
          <w:bCs/>
        </w:rPr>
        <w:t xml:space="preserve">Article 9 : Modalités de </w:t>
      </w:r>
      <w:r w:rsidR="00B73B9D">
        <w:rPr>
          <w:b/>
          <w:bCs/>
        </w:rPr>
        <w:t xml:space="preserve">stockage et de </w:t>
      </w:r>
      <w:r w:rsidRPr="00DA7A12">
        <w:rPr>
          <w:b/>
          <w:bCs/>
        </w:rPr>
        <w:t>colisage de</w:t>
      </w:r>
      <w:r w:rsidR="00B73B9D">
        <w:rPr>
          <w:b/>
          <w:bCs/>
        </w:rPr>
        <w:t>s</w:t>
      </w:r>
      <w:r w:rsidRPr="00DA7A12">
        <w:rPr>
          <w:b/>
          <w:bCs/>
        </w:rPr>
        <w:t xml:space="preserve"> </w:t>
      </w:r>
      <w:r w:rsidR="00B73B9D">
        <w:rPr>
          <w:b/>
          <w:bCs/>
        </w:rPr>
        <w:t>préparations</w:t>
      </w:r>
    </w:p>
    <w:p w14:paraId="5ECCD37D" w14:textId="77777777" w:rsidR="009C7B1F" w:rsidRDefault="009C7B1F" w:rsidP="00F0038D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2E6619F" w14:textId="1E3B2A27" w:rsidR="007A2CB2" w:rsidRPr="009C7B1F" w:rsidRDefault="007A2CB2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9C7B1F">
        <w:rPr>
          <w:i/>
          <w:iCs/>
          <w:sz w:val="20"/>
          <w:szCs w:val="20"/>
        </w:rPr>
        <w:t>A décrire</w:t>
      </w:r>
    </w:p>
    <w:p w14:paraId="1A9987FD" w14:textId="77777777" w:rsidR="007A2CB2" w:rsidRPr="007A2CB2" w:rsidRDefault="007A2CB2" w:rsidP="00F0038D">
      <w:pPr>
        <w:spacing w:after="0" w:line="240" w:lineRule="auto"/>
        <w:jc w:val="both"/>
        <w:rPr>
          <w:i/>
          <w:iCs/>
        </w:rPr>
      </w:pPr>
    </w:p>
    <w:p w14:paraId="61225F56" w14:textId="77777777" w:rsidR="009E3E32" w:rsidRPr="00DA7A12" w:rsidRDefault="009E3E32" w:rsidP="00F0038D">
      <w:pPr>
        <w:spacing w:after="0" w:line="240" w:lineRule="auto"/>
        <w:jc w:val="both"/>
        <w:rPr>
          <w:b/>
          <w:bCs/>
        </w:rPr>
      </w:pPr>
      <w:r w:rsidRPr="00C5150B">
        <w:rPr>
          <w:b/>
          <w:bCs/>
        </w:rPr>
        <w:t>Article 10 : Modalités de transport de la chimiothérapie</w:t>
      </w:r>
    </w:p>
    <w:p w14:paraId="6A95A624" w14:textId="77777777" w:rsidR="009C7B1F" w:rsidRDefault="009C7B1F" w:rsidP="00F0038D">
      <w:pPr>
        <w:spacing w:after="0" w:line="240" w:lineRule="auto"/>
        <w:jc w:val="both"/>
        <w:rPr>
          <w:i/>
          <w:iCs/>
        </w:rPr>
      </w:pPr>
    </w:p>
    <w:p w14:paraId="7333B8F2" w14:textId="03865AA9" w:rsidR="007A2CB2" w:rsidRPr="009C7B1F" w:rsidRDefault="007A2CB2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9C7B1F">
        <w:rPr>
          <w:i/>
          <w:iCs/>
          <w:sz w:val="20"/>
          <w:szCs w:val="20"/>
        </w:rPr>
        <w:t>A décrire en spécifiant les responsabilités de chacun des 2 établissements</w:t>
      </w:r>
      <w:r w:rsidR="00B73B9D" w:rsidRPr="009C7B1F">
        <w:rPr>
          <w:i/>
          <w:iCs/>
          <w:sz w:val="20"/>
          <w:szCs w:val="20"/>
        </w:rPr>
        <w:t xml:space="preserve"> (traçabilités de la prise du colis, traçabilité de la livraison, respect des températures de </w:t>
      </w:r>
      <w:r w:rsidR="002A0DE2" w:rsidRPr="009C7B1F">
        <w:rPr>
          <w:i/>
          <w:iCs/>
          <w:sz w:val="20"/>
          <w:szCs w:val="20"/>
        </w:rPr>
        <w:t>livraison, …</w:t>
      </w:r>
      <w:r w:rsidR="00B73B9D" w:rsidRPr="009C7B1F">
        <w:rPr>
          <w:i/>
          <w:iCs/>
          <w:sz w:val="20"/>
          <w:szCs w:val="20"/>
        </w:rPr>
        <w:t>)</w:t>
      </w:r>
    </w:p>
    <w:p w14:paraId="34EDB501" w14:textId="77777777" w:rsidR="007A2CB2" w:rsidRPr="007A2CB2" w:rsidRDefault="007A2CB2" w:rsidP="00F0038D">
      <w:pPr>
        <w:spacing w:after="0" w:line="240" w:lineRule="auto"/>
        <w:jc w:val="both"/>
        <w:rPr>
          <w:i/>
          <w:iCs/>
        </w:rPr>
      </w:pPr>
    </w:p>
    <w:p w14:paraId="7EB052A9" w14:textId="77777777" w:rsidR="00BB45FD" w:rsidRPr="00DA7A12" w:rsidRDefault="00BB45FD" w:rsidP="00F0038D">
      <w:pPr>
        <w:spacing w:after="0" w:line="240" w:lineRule="auto"/>
        <w:jc w:val="both"/>
        <w:rPr>
          <w:b/>
          <w:bCs/>
        </w:rPr>
      </w:pPr>
      <w:r w:rsidRPr="002A0DE2">
        <w:rPr>
          <w:b/>
          <w:bCs/>
        </w:rPr>
        <w:t xml:space="preserve">Article </w:t>
      </w:r>
      <w:r w:rsidR="00B41FD4" w:rsidRPr="002A0DE2">
        <w:rPr>
          <w:b/>
          <w:bCs/>
        </w:rPr>
        <w:t xml:space="preserve">11 :  </w:t>
      </w:r>
      <w:r w:rsidRPr="002A0DE2">
        <w:rPr>
          <w:b/>
          <w:bCs/>
        </w:rPr>
        <w:t>Stockage des traitements au sein de la HAD ou du domicile du patient</w:t>
      </w:r>
    </w:p>
    <w:p w14:paraId="4973E158" w14:textId="77777777" w:rsidR="009C7B1F" w:rsidRDefault="009C7B1F" w:rsidP="00F0038D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4076098B" w14:textId="39E2B62E" w:rsidR="00BF5DD6" w:rsidRPr="009C7B1F" w:rsidRDefault="00BF5DD6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9C7B1F">
        <w:rPr>
          <w:i/>
          <w:iCs/>
          <w:sz w:val="20"/>
          <w:szCs w:val="20"/>
        </w:rPr>
        <w:t>A décrire en spécifiant les responsabilités</w:t>
      </w:r>
    </w:p>
    <w:p w14:paraId="74C6FCEC" w14:textId="77777777" w:rsidR="007A2CB2" w:rsidRDefault="007A2CB2" w:rsidP="00F0038D">
      <w:pPr>
        <w:spacing w:after="0" w:line="240" w:lineRule="auto"/>
        <w:jc w:val="both"/>
      </w:pPr>
    </w:p>
    <w:p w14:paraId="4D60173A" w14:textId="77777777" w:rsidR="009E3E32" w:rsidRPr="00DA7A12" w:rsidRDefault="00B41FD4" w:rsidP="00F0038D">
      <w:pPr>
        <w:spacing w:after="0" w:line="240" w:lineRule="auto"/>
        <w:jc w:val="both"/>
        <w:rPr>
          <w:b/>
          <w:bCs/>
        </w:rPr>
      </w:pPr>
      <w:r w:rsidRPr="00DA7A12">
        <w:rPr>
          <w:b/>
          <w:bCs/>
        </w:rPr>
        <w:t>Article 12</w:t>
      </w:r>
      <w:r w:rsidR="009E3E32" w:rsidRPr="00DA7A12">
        <w:rPr>
          <w:b/>
          <w:bCs/>
        </w:rPr>
        <w:t xml:space="preserve"> : Dispensation des dispositifs médicaux</w:t>
      </w:r>
    </w:p>
    <w:p w14:paraId="320EA9E6" w14:textId="15DAC81E" w:rsidR="00BF5DD6" w:rsidRDefault="00BF5DD6" w:rsidP="00F0038D">
      <w:pPr>
        <w:spacing w:after="0" w:line="240" w:lineRule="auto"/>
        <w:jc w:val="both"/>
      </w:pPr>
      <w:r>
        <w:lastRenderedPageBreak/>
        <w:t>Les dispositifs médicaux sont délivrés par l’HAD et adaptés aux protocoles thérapeutiques de l’établissement autorisé. Les procédures de bonnes pratiques doivent être respectées.</w:t>
      </w:r>
    </w:p>
    <w:p w14:paraId="2B62E267" w14:textId="636C2F99" w:rsidR="00BF5DD6" w:rsidRDefault="00BF5DD6" w:rsidP="00F0038D">
      <w:pPr>
        <w:spacing w:after="0" w:line="240" w:lineRule="auto"/>
        <w:jc w:val="both"/>
      </w:pPr>
      <w:r>
        <w:t>Ils sont à la charge de l’HAD.</w:t>
      </w:r>
    </w:p>
    <w:p w14:paraId="63C3C34C" w14:textId="77777777" w:rsidR="00BF5DD6" w:rsidRDefault="00BF5DD6" w:rsidP="00F0038D">
      <w:pPr>
        <w:spacing w:after="0" w:line="240" w:lineRule="auto"/>
        <w:jc w:val="both"/>
      </w:pPr>
    </w:p>
    <w:p w14:paraId="2602EF6A" w14:textId="77777777" w:rsidR="000856B9" w:rsidRDefault="000856B9" w:rsidP="00F0038D">
      <w:pPr>
        <w:spacing w:after="0" w:line="240" w:lineRule="auto"/>
        <w:jc w:val="both"/>
        <w:rPr>
          <w:b/>
          <w:bCs/>
        </w:rPr>
      </w:pPr>
    </w:p>
    <w:p w14:paraId="7A67F365" w14:textId="403AACC6" w:rsidR="009E3E32" w:rsidRPr="00DA7A12" w:rsidRDefault="00B41FD4" w:rsidP="00F0038D">
      <w:pPr>
        <w:spacing w:after="0" w:line="240" w:lineRule="auto"/>
        <w:jc w:val="both"/>
        <w:rPr>
          <w:b/>
          <w:bCs/>
        </w:rPr>
      </w:pPr>
      <w:r w:rsidRPr="00C35846">
        <w:rPr>
          <w:b/>
          <w:bCs/>
        </w:rPr>
        <w:t>Article 13</w:t>
      </w:r>
      <w:r w:rsidR="009E3E32" w:rsidRPr="00C35846">
        <w:rPr>
          <w:b/>
          <w:bCs/>
        </w:rPr>
        <w:t xml:space="preserve"> : Gestion des déchets</w:t>
      </w:r>
    </w:p>
    <w:p w14:paraId="13851814" w14:textId="1378CC37" w:rsidR="005442D4" w:rsidRDefault="00025997" w:rsidP="00F0038D">
      <w:pPr>
        <w:spacing w:after="0" w:line="240" w:lineRule="auto"/>
        <w:jc w:val="both"/>
      </w:pPr>
      <w:r>
        <w:t>La gestion des déchets est à la charge de l’HAD</w:t>
      </w:r>
      <w:r w:rsidR="001E33F2">
        <w:t>. Elle doit faire l’objet d’une procédure à transmettre en annexe.</w:t>
      </w:r>
      <w:r w:rsidR="00DA7A12">
        <w:t xml:space="preserve"> Elle respecte la règlementation en vigueur (article R1335</w:t>
      </w:r>
      <w:r w:rsidR="0086761B">
        <w:t xml:space="preserve"> </w:t>
      </w:r>
      <w:r w:rsidR="00DA7A12">
        <w:t>CSP</w:t>
      </w:r>
      <w:r w:rsidR="0086761B">
        <w:t xml:space="preserve">) et les filières </w:t>
      </w:r>
      <w:r w:rsidR="005442D4">
        <w:t>doivent être identifié</w:t>
      </w:r>
      <w:r w:rsidR="00FD6206">
        <w:t>e</w:t>
      </w:r>
      <w:r w:rsidR="005442D4">
        <w:t>s : médicaments cytotoxiques purs, déchets d’activité de soins à risques infectieux</w:t>
      </w:r>
      <w:r w:rsidR="00FD6206">
        <w:t xml:space="preserve"> </w:t>
      </w:r>
      <w:r w:rsidR="005442D4">
        <w:t>(</w:t>
      </w:r>
      <w:r w:rsidR="0086761B">
        <w:t>DASRI</w:t>
      </w:r>
      <w:r w:rsidR="005442D4">
        <w:t>)</w:t>
      </w:r>
      <w:r w:rsidR="0086761B">
        <w:t xml:space="preserve">, </w:t>
      </w:r>
      <w:r w:rsidR="005442D4">
        <w:t>déchets d’activité de soins non dangereux (DASND), déchets recyclables</w:t>
      </w:r>
    </w:p>
    <w:p w14:paraId="5EA0B199" w14:textId="77777777" w:rsidR="00462359" w:rsidRDefault="00462359" w:rsidP="00F0038D">
      <w:pPr>
        <w:spacing w:after="0" w:line="240" w:lineRule="auto"/>
        <w:jc w:val="both"/>
        <w:rPr>
          <w:i/>
          <w:iCs/>
        </w:rPr>
      </w:pPr>
    </w:p>
    <w:p w14:paraId="332EBF85" w14:textId="636A80D0" w:rsidR="00B134B6" w:rsidRPr="00462359" w:rsidRDefault="0000633F" w:rsidP="00F0038D">
      <w:pPr>
        <w:spacing w:after="0" w:line="240" w:lineRule="auto"/>
        <w:jc w:val="both"/>
        <w:rPr>
          <w:i/>
          <w:iCs/>
          <w:sz w:val="20"/>
          <w:szCs w:val="20"/>
        </w:rPr>
      </w:pPr>
      <w:r w:rsidRPr="00462359">
        <w:rPr>
          <w:i/>
          <w:iCs/>
          <w:sz w:val="20"/>
          <w:szCs w:val="20"/>
        </w:rPr>
        <w:t>Décrire les modalités de collecte, le transport, le stockage et l’élimination pour chaque type de déchet</w:t>
      </w:r>
      <w:r w:rsidR="00462359">
        <w:rPr>
          <w:i/>
          <w:iCs/>
          <w:sz w:val="20"/>
          <w:szCs w:val="20"/>
        </w:rPr>
        <w:t>.</w:t>
      </w:r>
    </w:p>
    <w:p w14:paraId="634F457E" w14:textId="77777777" w:rsidR="005F7CF4" w:rsidRDefault="005F7CF4" w:rsidP="00F0038D">
      <w:pPr>
        <w:spacing w:after="0" w:line="240" w:lineRule="auto"/>
        <w:jc w:val="both"/>
      </w:pPr>
    </w:p>
    <w:p w14:paraId="00F1560B" w14:textId="77777777" w:rsidR="00F60EBD" w:rsidRPr="005F7CF4" w:rsidRDefault="00F60EBD" w:rsidP="00F0038D">
      <w:pPr>
        <w:spacing w:after="0" w:line="240" w:lineRule="auto"/>
        <w:jc w:val="both"/>
        <w:rPr>
          <w:b/>
          <w:bCs/>
        </w:rPr>
      </w:pPr>
      <w:r w:rsidRPr="005F7CF4">
        <w:rPr>
          <w:b/>
          <w:bCs/>
        </w:rPr>
        <w:t>Article 14 : Retour des chimiothérapies non administrées</w:t>
      </w:r>
    </w:p>
    <w:p w14:paraId="7EC6B623" w14:textId="7363A1EA" w:rsidR="0000633F" w:rsidRPr="005D104F" w:rsidRDefault="001E33F2" w:rsidP="00F0038D">
      <w:pPr>
        <w:spacing w:after="0" w:line="240" w:lineRule="auto"/>
        <w:jc w:val="both"/>
      </w:pPr>
      <w:r w:rsidRPr="005D104F">
        <w:t xml:space="preserve">L’HAD s’engage à retourner les chimiothérapies non administrées à la PUI </w:t>
      </w:r>
      <w:r w:rsidR="0000633F" w:rsidRPr="005D104F">
        <w:t>selon les conditions établies par l’établissement autorisé.</w:t>
      </w:r>
      <w:r w:rsidR="005D104F" w:rsidRPr="005D104F">
        <w:t xml:space="preserve"> </w:t>
      </w:r>
    </w:p>
    <w:p w14:paraId="029132C4" w14:textId="77777777" w:rsidR="001E33F2" w:rsidRPr="005D104F" w:rsidRDefault="001E33F2" w:rsidP="00F0038D">
      <w:pPr>
        <w:spacing w:after="0" w:line="240" w:lineRule="auto"/>
        <w:jc w:val="both"/>
      </w:pPr>
    </w:p>
    <w:p w14:paraId="457E8A49" w14:textId="77777777" w:rsidR="009E3E32" w:rsidRDefault="00F60EBD" w:rsidP="00F0038D">
      <w:pPr>
        <w:spacing w:after="0" w:line="240" w:lineRule="auto"/>
        <w:jc w:val="both"/>
        <w:rPr>
          <w:b/>
          <w:bCs/>
        </w:rPr>
      </w:pPr>
      <w:r w:rsidRPr="005F7CF4">
        <w:rPr>
          <w:b/>
          <w:bCs/>
        </w:rPr>
        <w:t>Article 15</w:t>
      </w:r>
      <w:r w:rsidR="009E3E32" w:rsidRPr="005F7CF4">
        <w:rPr>
          <w:b/>
          <w:bCs/>
        </w:rPr>
        <w:t xml:space="preserve"> : Engagement des acteurs de santé</w:t>
      </w:r>
    </w:p>
    <w:p w14:paraId="3F6123F9" w14:textId="55117E51" w:rsidR="001E33F2" w:rsidRDefault="001E33F2" w:rsidP="00F0038D">
      <w:pPr>
        <w:spacing w:after="0" w:line="240" w:lineRule="auto"/>
        <w:jc w:val="both"/>
      </w:pPr>
      <w:bookmarkStart w:id="0" w:name="_Hlk193358157"/>
      <w:r>
        <w:t>Les signataires de la présente convention s’engagent à se réunir</w:t>
      </w:r>
      <w:r w:rsidR="002A0DE2">
        <w:t xml:space="preserve"> </w:t>
      </w:r>
      <w:r w:rsidR="002A0DE2" w:rsidRPr="002A0DE2">
        <w:rPr>
          <w:color w:val="000000" w:themeColor="text1"/>
        </w:rPr>
        <w:t xml:space="preserve">à fréquence régulière </w:t>
      </w:r>
      <w:r w:rsidR="002A0DE2" w:rsidRPr="002A0DE2">
        <w:rPr>
          <w:i/>
          <w:iCs/>
          <w:color w:val="000000" w:themeColor="text1"/>
          <w:sz w:val="20"/>
          <w:szCs w:val="20"/>
        </w:rPr>
        <w:t>(à définir)</w:t>
      </w:r>
      <w:r w:rsidRPr="002A0DE2">
        <w:rPr>
          <w:color w:val="000000" w:themeColor="text1"/>
        </w:rPr>
        <w:t xml:space="preserve"> </w:t>
      </w:r>
      <w:r>
        <w:t>afin d’établir un bilan de leur collaboration.</w:t>
      </w:r>
    </w:p>
    <w:bookmarkEnd w:id="0"/>
    <w:p w14:paraId="6E326A4A" w14:textId="77777777" w:rsidR="001E33F2" w:rsidRDefault="001E33F2" w:rsidP="00F0038D">
      <w:pPr>
        <w:spacing w:after="0" w:line="240" w:lineRule="auto"/>
        <w:jc w:val="both"/>
      </w:pPr>
    </w:p>
    <w:p w14:paraId="228BE565" w14:textId="77777777" w:rsidR="009E3E32" w:rsidRPr="005F7CF4" w:rsidRDefault="00F60EBD" w:rsidP="00F0038D">
      <w:pPr>
        <w:spacing w:after="0" w:line="240" w:lineRule="auto"/>
        <w:jc w:val="both"/>
        <w:rPr>
          <w:b/>
          <w:bCs/>
        </w:rPr>
      </w:pPr>
      <w:r w:rsidRPr="005F7CF4">
        <w:rPr>
          <w:b/>
          <w:bCs/>
        </w:rPr>
        <w:t>Article 16</w:t>
      </w:r>
      <w:r w:rsidR="009E3E32" w:rsidRPr="005F7CF4">
        <w:rPr>
          <w:b/>
          <w:bCs/>
        </w:rPr>
        <w:t xml:space="preserve"> : Date d’effet </w:t>
      </w:r>
    </w:p>
    <w:p w14:paraId="5A930CD8" w14:textId="0AB8F5B0" w:rsidR="001E33F2" w:rsidRDefault="001E33F2" w:rsidP="00F0038D">
      <w:pPr>
        <w:spacing w:after="0" w:line="240" w:lineRule="auto"/>
        <w:jc w:val="both"/>
      </w:pPr>
      <w:r>
        <w:t>La convention prendra effet à la date de signature.</w:t>
      </w:r>
    </w:p>
    <w:p w14:paraId="09F4A444" w14:textId="77777777" w:rsidR="001E33F2" w:rsidRDefault="001E33F2" w:rsidP="00F0038D">
      <w:pPr>
        <w:spacing w:after="0" w:line="240" w:lineRule="auto"/>
        <w:jc w:val="both"/>
      </w:pPr>
    </w:p>
    <w:p w14:paraId="6BEC0E95" w14:textId="77777777" w:rsidR="009E3E32" w:rsidRPr="005F7CF4" w:rsidRDefault="00F60EBD" w:rsidP="00F0038D">
      <w:pPr>
        <w:spacing w:after="0" w:line="240" w:lineRule="auto"/>
        <w:jc w:val="both"/>
        <w:rPr>
          <w:b/>
          <w:bCs/>
        </w:rPr>
      </w:pPr>
      <w:r w:rsidRPr="005F7CF4">
        <w:rPr>
          <w:b/>
          <w:bCs/>
        </w:rPr>
        <w:t>Article 17</w:t>
      </w:r>
      <w:r w:rsidR="009E3E32" w:rsidRPr="005F7CF4">
        <w:rPr>
          <w:b/>
          <w:bCs/>
        </w:rPr>
        <w:t xml:space="preserve"> : Délai de validité de la convention </w:t>
      </w:r>
    </w:p>
    <w:p w14:paraId="0C8627D4" w14:textId="7EEB7578" w:rsidR="007A1FBE" w:rsidRDefault="00D169C1" w:rsidP="00F0038D">
      <w:pPr>
        <w:spacing w:after="0" w:line="240" w:lineRule="auto"/>
        <w:jc w:val="both"/>
      </w:pPr>
      <w:r>
        <w:t>La convention a une durée d</w:t>
      </w:r>
      <w:r w:rsidR="00DC4412">
        <w:t xml:space="preserve">e </w:t>
      </w:r>
      <w:r>
        <w:t>……………</w:t>
      </w:r>
      <w:r w:rsidR="00DC4412">
        <w:t>an(s)</w:t>
      </w:r>
      <w:r>
        <w:t xml:space="preserve"> et sera renouvelable ………………………</w:t>
      </w:r>
    </w:p>
    <w:p w14:paraId="676CC72D" w14:textId="77777777" w:rsidR="00D169C1" w:rsidRDefault="00D169C1" w:rsidP="00F0038D">
      <w:pPr>
        <w:spacing w:after="0" w:line="240" w:lineRule="auto"/>
        <w:jc w:val="both"/>
      </w:pPr>
    </w:p>
    <w:p w14:paraId="59F8617D" w14:textId="77777777" w:rsidR="00BB45FD" w:rsidRPr="005F7CF4" w:rsidRDefault="00F60EBD" w:rsidP="00F0038D">
      <w:pPr>
        <w:spacing w:after="0" w:line="240" w:lineRule="auto"/>
        <w:jc w:val="both"/>
        <w:rPr>
          <w:b/>
          <w:bCs/>
        </w:rPr>
      </w:pPr>
      <w:r w:rsidRPr="005F7CF4">
        <w:rPr>
          <w:b/>
          <w:bCs/>
        </w:rPr>
        <w:t>Article 18</w:t>
      </w:r>
      <w:r w:rsidR="009E3E32" w:rsidRPr="005F7CF4">
        <w:rPr>
          <w:b/>
          <w:bCs/>
        </w:rPr>
        <w:t xml:space="preserve"> : Révision et dénonciation</w:t>
      </w:r>
    </w:p>
    <w:p w14:paraId="33D58C67" w14:textId="1C2D752E" w:rsidR="00D169C1" w:rsidRDefault="00D169C1" w:rsidP="00F0038D">
      <w:pPr>
        <w:spacing w:after="0" w:line="240" w:lineRule="auto"/>
        <w:jc w:val="both"/>
      </w:pPr>
      <w:r>
        <w:t>Toute modification des termes de la présente convention et de ses annexes fait l’objet d’un avenant.</w:t>
      </w:r>
    </w:p>
    <w:p w14:paraId="5438B395" w14:textId="77777777" w:rsidR="00D169C1" w:rsidRDefault="00D169C1" w:rsidP="00F0038D">
      <w:pPr>
        <w:spacing w:after="0" w:line="240" w:lineRule="auto"/>
        <w:jc w:val="both"/>
      </w:pPr>
    </w:p>
    <w:p w14:paraId="3AA330A3" w14:textId="6DC56092" w:rsidR="00D169C1" w:rsidRDefault="00D169C1" w:rsidP="00F0038D">
      <w:pPr>
        <w:spacing w:after="0" w:line="240" w:lineRule="auto"/>
        <w:jc w:val="both"/>
      </w:pPr>
      <w:r>
        <w:t>La présente convention peut être dénoncée à tout moment par l’une ou l’autre des parties sous réserve d’un préavis de ……………. mois notifié par lettre recommandée avec accusé de réception.</w:t>
      </w:r>
    </w:p>
    <w:p w14:paraId="5ED6DB28" w14:textId="77777777" w:rsidR="00D169C1" w:rsidRDefault="00D169C1" w:rsidP="00F0038D">
      <w:pPr>
        <w:spacing w:after="0" w:line="240" w:lineRule="auto"/>
        <w:jc w:val="both"/>
      </w:pPr>
    </w:p>
    <w:p w14:paraId="3D2A2238" w14:textId="39082204" w:rsidR="00D169C1" w:rsidRDefault="00D169C1" w:rsidP="00F0038D">
      <w:pPr>
        <w:spacing w:after="0" w:line="240" w:lineRule="auto"/>
        <w:jc w:val="both"/>
      </w:pPr>
      <w:r>
        <w:t xml:space="preserve">L’établissement peut procéder à cette dénonciation en cas de </w:t>
      </w:r>
      <w:r w:rsidR="002A0DE2">
        <w:t>non-respect</w:t>
      </w:r>
      <w:r>
        <w:t xml:space="preserve"> des conditions susvisées et après mise en demeure restée sans effet pendant plus d’un mois. En cas de</w:t>
      </w:r>
      <w:r w:rsidR="00DA7A12">
        <w:t xml:space="preserve"> </w:t>
      </w:r>
      <w:r>
        <w:t>manquement grave, dûment constaté, l’exclusion est prononcée sans délai.</w:t>
      </w:r>
    </w:p>
    <w:sectPr w:rsidR="00D169C1" w:rsidSect="0038401C">
      <w:headerReference w:type="default" r:id="rId11"/>
      <w:footerReference w:type="default" r:id="rId12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31F1" w14:textId="77777777" w:rsidR="003E3F70" w:rsidRDefault="003E3F70" w:rsidP="007114F0">
      <w:pPr>
        <w:spacing w:after="0" w:line="240" w:lineRule="auto"/>
      </w:pPr>
      <w:r>
        <w:separator/>
      </w:r>
    </w:p>
  </w:endnote>
  <w:endnote w:type="continuationSeparator" w:id="0">
    <w:p w14:paraId="51D09C92" w14:textId="77777777" w:rsidR="003E3F70" w:rsidRDefault="003E3F70" w:rsidP="007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299880"/>
      <w:docPartObj>
        <w:docPartGallery w:val="Page Numbers (Bottom of Page)"/>
        <w:docPartUnique/>
      </w:docPartObj>
    </w:sdtPr>
    <w:sdtContent>
      <w:p w14:paraId="0BB051CE" w14:textId="51B0C96F" w:rsidR="000C2F64" w:rsidRDefault="000C2F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FD503" w14:textId="77777777" w:rsidR="000C2F64" w:rsidRDefault="000C2F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233A" w14:textId="77777777" w:rsidR="003E3F70" w:rsidRDefault="003E3F70" w:rsidP="007114F0">
      <w:pPr>
        <w:spacing w:after="0" w:line="240" w:lineRule="auto"/>
      </w:pPr>
      <w:r>
        <w:separator/>
      </w:r>
    </w:p>
  </w:footnote>
  <w:footnote w:type="continuationSeparator" w:id="0">
    <w:p w14:paraId="517F9790" w14:textId="77777777" w:rsidR="003E3F70" w:rsidRDefault="003E3F70" w:rsidP="0071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F2B" w14:textId="76C83391" w:rsidR="007114F0" w:rsidRPr="009C7B1F" w:rsidRDefault="007114F0">
    <w:pPr>
      <w:pStyle w:val="En-tte"/>
      <w:rPr>
        <w:sz w:val="20"/>
        <w:szCs w:val="20"/>
      </w:rPr>
    </w:pPr>
    <w:r>
      <w:tab/>
    </w:r>
    <w:r>
      <w:tab/>
    </w:r>
    <w:r w:rsidR="0038401C">
      <w:t xml:space="preserve">                     </w:t>
    </w:r>
    <w:r w:rsidR="00D16BD8" w:rsidRPr="009C7B1F">
      <w:rPr>
        <w:sz w:val="20"/>
        <w:szCs w:val="20"/>
      </w:rPr>
      <w:t>Mars</w:t>
    </w:r>
    <w:r w:rsidRPr="009C7B1F">
      <w:rPr>
        <w:sz w:val="20"/>
        <w:szCs w:val="20"/>
      </w:rPr>
      <w:t xml:space="preserve"> 202</w:t>
    </w:r>
    <w:r w:rsidR="00D16BD8" w:rsidRPr="009C7B1F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9C3"/>
    <w:multiLevelType w:val="hybridMultilevel"/>
    <w:tmpl w:val="0F98A7D2"/>
    <w:lvl w:ilvl="0" w:tplc="A8E259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5E63"/>
    <w:multiLevelType w:val="hybridMultilevel"/>
    <w:tmpl w:val="909E635A"/>
    <w:lvl w:ilvl="0" w:tplc="D8826C7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9E43C8"/>
    <w:multiLevelType w:val="hybridMultilevel"/>
    <w:tmpl w:val="26AAC15A"/>
    <w:lvl w:ilvl="0" w:tplc="5524C4D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21336077">
    <w:abstractNumId w:val="1"/>
  </w:num>
  <w:num w:numId="2" w16cid:durableId="643852419">
    <w:abstractNumId w:val="2"/>
  </w:num>
  <w:num w:numId="3" w16cid:durableId="129933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32"/>
    <w:rsid w:val="0000633F"/>
    <w:rsid w:val="00025997"/>
    <w:rsid w:val="000500E1"/>
    <w:rsid w:val="0006798D"/>
    <w:rsid w:val="00071F23"/>
    <w:rsid w:val="00071FAD"/>
    <w:rsid w:val="000775E3"/>
    <w:rsid w:val="000856B9"/>
    <w:rsid w:val="000B7793"/>
    <w:rsid w:val="000C2F64"/>
    <w:rsid w:val="00110188"/>
    <w:rsid w:val="001472DC"/>
    <w:rsid w:val="00187C5C"/>
    <w:rsid w:val="001B6A31"/>
    <w:rsid w:val="001E33F2"/>
    <w:rsid w:val="00277B6E"/>
    <w:rsid w:val="002A0DE2"/>
    <w:rsid w:val="002B51D6"/>
    <w:rsid w:val="002C74B8"/>
    <w:rsid w:val="002D2143"/>
    <w:rsid w:val="00310307"/>
    <w:rsid w:val="00312E7B"/>
    <w:rsid w:val="0038401C"/>
    <w:rsid w:val="003937F6"/>
    <w:rsid w:val="003D5EC9"/>
    <w:rsid w:val="003E3F70"/>
    <w:rsid w:val="00462359"/>
    <w:rsid w:val="0052701F"/>
    <w:rsid w:val="005442D4"/>
    <w:rsid w:val="005A2879"/>
    <w:rsid w:val="005B6DA0"/>
    <w:rsid w:val="005C0AAE"/>
    <w:rsid w:val="005D0F41"/>
    <w:rsid w:val="005D104F"/>
    <w:rsid w:val="005F713A"/>
    <w:rsid w:val="005F7CF4"/>
    <w:rsid w:val="00651E51"/>
    <w:rsid w:val="0071139F"/>
    <w:rsid w:val="007114F0"/>
    <w:rsid w:val="00763476"/>
    <w:rsid w:val="0078401F"/>
    <w:rsid w:val="007A1FBE"/>
    <w:rsid w:val="007A2CB2"/>
    <w:rsid w:val="007D392C"/>
    <w:rsid w:val="0086761B"/>
    <w:rsid w:val="008A2E3B"/>
    <w:rsid w:val="008A436E"/>
    <w:rsid w:val="008A4A1C"/>
    <w:rsid w:val="008B6D33"/>
    <w:rsid w:val="008D4293"/>
    <w:rsid w:val="009551FC"/>
    <w:rsid w:val="0099309D"/>
    <w:rsid w:val="009A1D56"/>
    <w:rsid w:val="009A2FE4"/>
    <w:rsid w:val="009C7B1F"/>
    <w:rsid w:val="009E3E32"/>
    <w:rsid w:val="00A445F4"/>
    <w:rsid w:val="00A613F2"/>
    <w:rsid w:val="00A976B9"/>
    <w:rsid w:val="00AB254B"/>
    <w:rsid w:val="00AE7350"/>
    <w:rsid w:val="00B134B6"/>
    <w:rsid w:val="00B251CA"/>
    <w:rsid w:val="00B41FD4"/>
    <w:rsid w:val="00B47694"/>
    <w:rsid w:val="00B73B9D"/>
    <w:rsid w:val="00BB45FD"/>
    <w:rsid w:val="00BC1175"/>
    <w:rsid w:val="00BE0C3A"/>
    <w:rsid w:val="00BF35FB"/>
    <w:rsid w:val="00BF5DD6"/>
    <w:rsid w:val="00C04657"/>
    <w:rsid w:val="00C35846"/>
    <w:rsid w:val="00C361BB"/>
    <w:rsid w:val="00C5150B"/>
    <w:rsid w:val="00C90BE0"/>
    <w:rsid w:val="00D169C1"/>
    <w:rsid w:val="00D16BD8"/>
    <w:rsid w:val="00D502BE"/>
    <w:rsid w:val="00D5216E"/>
    <w:rsid w:val="00D60419"/>
    <w:rsid w:val="00DA7A12"/>
    <w:rsid w:val="00DC4412"/>
    <w:rsid w:val="00DE1022"/>
    <w:rsid w:val="00E205A6"/>
    <w:rsid w:val="00E47446"/>
    <w:rsid w:val="00EA796A"/>
    <w:rsid w:val="00EF2845"/>
    <w:rsid w:val="00F0038D"/>
    <w:rsid w:val="00F606E6"/>
    <w:rsid w:val="00F60EBD"/>
    <w:rsid w:val="00FA34E1"/>
    <w:rsid w:val="00FD0C03"/>
    <w:rsid w:val="00FD6206"/>
    <w:rsid w:val="00FD6FCA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0A17"/>
  <w15:chartTrackingRefBased/>
  <w15:docId w15:val="{BDA97562-E50E-4B25-B5E1-1BD6647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4F0"/>
  </w:style>
  <w:style w:type="paragraph" w:styleId="Pieddepage">
    <w:name w:val="footer"/>
    <w:basedOn w:val="Normal"/>
    <w:link w:val="PieddepageCar"/>
    <w:uiPriority w:val="99"/>
    <w:unhideWhenUsed/>
    <w:rsid w:val="007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4F0"/>
  </w:style>
  <w:style w:type="paragraph" w:styleId="Paragraphedeliste">
    <w:name w:val="List Paragraph"/>
    <w:basedOn w:val="Normal"/>
    <w:uiPriority w:val="34"/>
    <w:qFormat/>
    <w:rsid w:val="002C74B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4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40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4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4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401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51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B294E.D1F20A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LABAT</dc:creator>
  <cp:keywords/>
  <dc:description/>
  <cp:lastModifiedBy>BEAUGER, Davy (ARS-PACA/DPRS/OMEDIT/EXTERNES)</cp:lastModifiedBy>
  <cp:revision>2</cp:revision>
  <cp:lastPrinted>2023-07-25T13:51:00Z</cp:lastPrinted>
  <dcterms:created xsi:type="dcterms:W3CDTF">2025-05-28T08:59:00Z</dcterms:created>
  <dcterms:modified xsi:type="dcterms:W3CDTF">2025-05-28T08:59:00Z</dcterms:modified>
</cp:coreProperties>
</file>