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A171" w14:textId="2D6C4336" w:rsidR="00B447C3" w:rsidRDefault="00B447C3" w:rsidP="00B447C3">
      <w:pPr>
        <w:rPr>
          <w:b/>
          <w:sz w:val="40"/>
        </w:rPr>
      </w:pPr>
    </w:p>
    <w:sdt>
      <w:sdtPr>
        <w:rPr>
          <w:rFonts w:asciiTheme="minorHAnsi" w:eastAsiaTheme="minorHAnsi" w:hAnsiTheme="minorHAnsi" w:cstheme="minorBidi"/>
          <w:color w:val="auto"/>
          <w:sz w:val="22"/>
          <w:szCs w:val="22"/>
          <w:lang w:eastAsia="en-US"/>
        </w:rPr>
        <w:id w:val="1926377695"/>
        <w:docPartObj>
          <w:docPartGallery w:val="Table of Contents"/>
          <w:docPartUnique/>
        </w:docPartObj>
      </w:sdtPr>
      <w:sdtEndPr>
        <w:rPr>
          <w:b/>
          <w:bCs/>
          <w:sz w:val="24"/>
          <w:szCs w:val="24"/>
        </w:rPr>
      </w:sdtEndPr>
      <w:sdtContent>
        <w:p w14:paraId="717A5A6B" w14:textId="77777777" w:rsidR="00D81519" w:rsidRDefault="00D81519">
          <w:pPr>
            <w:pStyle w:val="En-ttedetabledesmatires"/>
          </w:pPr>
          <w:r>
            <w:t>Table des matières</w:t>
          </w:r>
        </w:p>
        <w:p w14:paraId="28674119" w14:textId="29F9FBE3" w:rsidR="00805E3B" w:rsidRDefault="00D81519">
          <w:pPr>
            <w:pStyle w:val="TM1"/>
            <w:tabs>
              <w:tab w:val="right" w:leader="dot" w:pos="9771"/>
            </w:tabs>
            <w:rPr>
              <w:rFonts w:eastAsiaTheme="minorEastAsia"/>
              <w:noProof/>
              <w:lang w:eastAsia="fr-FR"/>
            </w:rPr>
          </w:pPr>
          <w:r w:rsidRPr="007F1B1D">
            <w:rPr>
              <w:sz w:val="24"/>
              <w:szCs w:val="24"/>
            </w:rPr>
            <w:fldChar w:fldCharType="begin"/>
          </w:r>
          <w:r w:rsidRPr="007F1B1D">
            <w:rPr>
              <w:sz w:val="24"/>
              <w:szCs w:val="24"/>
            </w:rPr>
            <w:instrText xml:space="preserve"> TOC \o "1-3" \h \z \u </w:instrText>
          </w:r>
          <w:r w:rsidRPr="007F1B1D">
            <w:rPr>
              <w:sz w:val="24"/>
              <w:szCs w:val="24"/>
            </w:rPr>
            <w:fldChar w:fldCharType="separate"/>
          </w:r>
          <w:hyperlink w:anchor="_Toc144941749" w:history="1">
            <w:r w:rsidR="00805E3B" w:rsidRPr="005F68E1">
              <w:rPr>
                <w:rStyle w:val="Lienhypertexte"/>
                <w:noProof/>
              </w:rPr>
              <w:t>OBJET DE LA CONVENTION</w:t>
            </w:r>
            <w:r w:rsidR="00805E3B">
              <w:rPr>
                <w:noProof/>
                <w:webHidden/>
              </w:rPr>
              <w:tab/>
            </w:r>
            <w:r w:rsidR="00805E3B">
              <w:rPr>
                <w:noProof/>
                <w:webHidden/>
              </w:rPr>
              <w:fldChar w:fldCharType="begin"/>
            </w:r>
            <w:r w:rsidR="00805E3B">
              <w:rPr>
                <w:noProof/>
                <w:webHidden/>
              </w:rPr>
              <w:instrText xml:space="preserve"> PAGEREF _Toc144941749 \h </w:instrText>
            </w:r>
            <w:r w:rsidR="00805E3B">
              <w:rPr>
                <w:noProof/>
                <w:webHidden/>
              </w:rPr>
            </w:r>
            <w:r w:rsidR="00805E3B">
              <w:rPr>
                <w:noProof/>
                <w:webHidden/>
              </w:rPr>
              <w:fldChar w:fldCharType="separate"/>
            </w:r>
            <w:r w:rsidR="00FA7A2D">
              <w:rPr>
                <w:noProof/>
                <w:webHidden/>
              </w:rPr>
              <w:t>3</w:t>
            </w:r>
            <w:r w:rsidR="00805E3B">
              <w:rPr>
                <w:noProof/>
                <w:webHidden/>
              </w:rPr>
              <w:fldChar w:fldCharType="end"/>
            </w:r>
          </w:hyperlink>
        </w:p>
        <w:p w14:paraId="1C3919C0" w14:textId="36A92F17" w:rsidR="00805E3B" w:rsidRDefault="00FA7A2D">
          <w:pPr>
            <w:pStyle w:val="TM1"/>
            <w:tabs>
              <w:tab w:val="right" w:leader="dot" w:pos="9771"/>
            </w:tabs>
            <w:rPr>
              <w:rFonts w:eastAsiaTheme="minorEastAsia"/>
              <w:noProof/>
              <w:lang w:eastAsia="fr-FR"/>
            </w:rPr>
          </w:pPr>
          <w:hyperlink w:anchor="_Toc144941750" w:history="1">
            <w:r w:rsidR="00805E3B" w:rsidRPr="005F68E1">
              <w:rPr>
                <w:rStyle w:val="Lienhypertexte"/>
                <w:noProof/>
              </w:rPr>
              <w:t>ARTICLE 1 : MESURES RELATIVES AUX OBLIGATIONS DE L’ETABLISSEMENT</w:t>
            </w:r>
            <w:r w:rsidR="00805E3B">
              <w:rPr>
                <w:noProof/>
                <w:webHidden/>
              </w:rPr>
              <w:tab/>
            </w:r>
            <w:r w:rsidR="00805E3B">
              <w:rPr>
                <w:noProof/>
                <w:webHidden/>
              </w:rPr>
              <w:fldChar w:fldCharType="begin"/>
            </w:r>
            <w:r w:rsidR="00805E3B">
              <w:rPr>
                <w:noProof/>
                <w:webHidden/>
              </w:rPr>
              <w:instrText xml:space="preserve"> PAGEREF _Toc144941750 \h </w:instrText>
            </w:r>
            <w:r w:rsidR="00805E3B">
              <w:rPr>
                <w:noProof/>
                <w:webHidden/>
              </w:rPr>
            </w:r>
            <w:r w:rsidR="00805E3B">
              <w:rPr>
                <w:noProof/>
                <w:webHidden/>
              </w:rPr>
              <w:fldChar w:fldCharType="separate"/>
            </w:r>
            <w:r>
              <w:rPr>
                <w:noProof/>
                <w:webHidden/>
              </w:rPr>
              <w:t>3</w:t>
            </w:r>
            <w:r w:rsidR="00805E3B">
              <w:rPr>
                <w:noProof/>
                <w:webHidden/>
              </w:rPr>
              <w:fldChar w:fldCharType="end"/>
            </w:r>
          </w:hyperlink>
        </w:p>
        <w:p w14:paraId="559DA108" w14:textId="3B66FA27" w:rsidR="00805E3B" w:rsidRDefault="00FA7A2D">
          <w:pPr>
            <w:pStyle w:val="TM3"/>
            <w:tabs>
              <w:tab w:val="left" w:pos="880"/>
              <w:tab w:val="right" w:leader="dot" w:pos="9771"/>
            </w:tabs>
            <w:rPr>
              <w:rFonts w:eastAsiaTheme="minorEastAsia"/>
              <w:noProof/>
              <w:lang w:eastAsia="fr-FR"/>
            </w:rPr>
          </w:pPr>
          <w:hyperlink w:anchor="_Toc144941751" w:history="1">
            <w:r w:rsidR="00805E3B" w:rsidRPr="005F68E1">
              <w:rPr>
                <w:rStyle w:val="Lienhypertexte"/>
                <w:noProof/>
              </w:rPr>
              <w:t>1.</w:t>
            </w:r>
            <w:r w:rsidR="00805E3B">
              <w:rPr>
                <w:rFonts w:eastAsiaTheme="minorEastAsia"/>
                <w:noProof/>
                <w:lang w:eastAsia="fr-FR"/>
              </w:rPr>
              <w:tab/>
            </w:r>
            <w:r w:rsidR="00805E3B" w:rsidRPr="005F68E1">
              <w:rPr>
                <w:rStyle w:val="Lienhypertexte"/>
                <w:noProof/>
              </w:rPr>
              <w:t>Obligations réglementaires des EHPAD</w:t>
            </w:r>
            <w:r w:rsidR="00805E3B">
              <w:rPr>
                <w:noProof/>
                <w:webHidden/>
              </w:rPr>
              <w:tab/>
            </w:r>
            <w:r w:rsidR="00805E3B">
              <w:rPr>
                <w:noProof/>
                <w:webHidden/>
              </w:rPr>
              <w:fldChar w:fldCharType="begin"/>
            </w:r>
            <w:r w:rsidR="00805E3B">
              <w:rPr>
                <w:noProof/>
                <w:webHidden/>
              </w:rPr>
              <w:instrText xml:space="preserve"> PAGEREF _Toc144941751 \h </w:instrText>
            </w:r>
            <w:r w:rsidR="00805E3B">
              <w:rPr>
                <w:noProof/>
                <w:webHidden/>
              </w:rPr>
            </w:r>
            <w:r w:rsidR="00805E3B">
              <w:rPr>
                <w:noProof/>
                <w:webHidden/>
              </w:rPr>
              <w:fldChar w:fldCharType="separate"/>
            </w:r>
            <w:r>
              <w:rPr>
                <w:noProof/>
                <w:webHidden/>
              </w:rPr>
              <w:t>3</w:t>
            </w:r>
            <w:r w:rsidR="00805E3B">
              <w:rPr>
                <w:noProof/>
                <w:webHidden/>
              </w:rPr>
              <w:fldChar w:fldCharType="end"/>
            </w:r>
          </w:hyperlink>
        </w:p>
        <w:p w14:paraId="1B379849" w14:textId="65A4E9EF" w:rsidR="00805E3B" w:rsidRDefault="00FA7A2D">
          <w:pPr>
            <w:pStyle w:val="TM3"/>
            <w:tabs>
              <w:tab w:val="left" w:pos="880"/>
              <w:tab w:val="right" w:leader="dot" w:pos="9771"/>
            </w:tabs>
            <w:rPr>
              <w:rFonts w:eastAsiaTheme="minorEastAsia"/>
              <w:noProof/>
              <w:lang w:eastAsia="fr-FR"/>
            </w:rPr>
          </w:pPr>
          <w:hyperlink w:anchor="_Toc144941752" w:history="1">
            <w:r w:rsidR="00805E3B" w:rsidRPr="005F68E1">
              <w:rPr>
                <w:rStyle w:val="Lienhypertexte"/>
                <w:noProof/>
              </w:rPr>
              <w:t>2.</w:t>
            </w:r>
            <w:r w:rsidR="00805E3B">
              <w:rPr>
                <w:rFonts w:eastAsiaTheme="minorEastAsia"/>
                <w:noProof/>
                <w:lang w:eastAsia="fr-FR"/>
              </w:rPr>
              <w:tab/>
            </w:r>
            <w:r w:rsidR="00805E3B" w:rsidRPr="005F68E1">
              <w:rPr>
                <w:rStyle w:val="Lienhypertexte"/>
                <w:noProof/>
              </w:rPr>
              <w:t>Engagements de l’établissement vis-à-vis de l’officine</w:t>
            </w:r>
            <w:r w:rsidR="00805E3B">
              <w:rPr>
                <w:noProof/>
                <w:webHidden/>
              </w:rPr>
              <w:tab/>
            </w:r>
            <w:r w:rsidR="00805E3B">
              <w:rPr>
                <w:noProof/>
                <w:webHidden/>
              </w:rPr>
              <w:fldChar w:fldCharType="begin"/>
            </w:r>
            <w:r w:rsidR="00805E3B">
              <w:rPr>
                <w:noProof/>
                <w:webHidden/>
              </w:rPr>
              <w:instrText xml:space="preserve"> PAGEREF _Toc144941752 \h </w:instrText>
            </w:r>
            <w:r w:rsidR="00805E3B">
              <w:rPr>
                <w:noProof/>
                <w:webHidden/>
              </w:rPr>
            </w:r>
            <w:r w:rsidR="00805E3B">
              <w:rPr>
                <w:noProof/>
                <w:webHidden/>
              </w:rPr>
              <w:fldChar w:fldCharType="separate"/>
            </w:r>
            <w:r>
              <w:rPr>
                <w:noProof/>
                <w:webHidden/>
              </w:rPr>
              <w:t>4</w:t>
            </w:r>
            <w:r w:rsidR="00805E3B">
              <w:rPr>
                <w:noProof/>
                <w:webHidden/>
              </w:rPr>
              <w:fldChar w:fldCharType="end"/>
            </w:r>
          </w:hyperlink>
        </w:p>
        <w:p w14:paraId="3ED9DCF8" w14:textId="1DA95ABD" w:rsidR="00805E3B" w:rsidRDefault="00FA7A2D">
          <w:pPr>
            <w:pStyle w:val="TM1"/>
            <w:tabs>
              <w:tab w:val="right" w:leader="dot" w:pos="9771"/>
            </w:tabs>
            <w:rPr>
              <w:rFonts w:eastAsiaTheme="minorEastAsia"/>
              <w:noProof/>
              <w:lang w:eastAsia="fr-FR"/>
            </w:rPr>
          </w:pPr>
          <w:hyperlink w:anchor="_Toc144941753" w:history="1">
            <w:r w:rsidR="00805E3B" w:rsidRPr="005F68E1">
              <w:rPr>
                <w:rStyle w:val="Lienhypertexte"/>
                <w:noProof/>
              </w:rPr>
              <w:t>ARTICLE 2 : MESURES RELATIVES AUX OBLIGATIONS DE L’OFFICINE</w:t>
            </w:r>
            <w:r w:rsidR="00805E3B">
              <w:rPr>
                <w:noProof/>
                <w:webHidden/>
              </w:rPr>
              <w:tab/>
            </w:r>
            <w:r w:rsidR="00805E3B">
              <w:rPr>
                <w:noProof/>
                <w:webHidden/>
              </w:rPr>
              <w:fldChar w:fldCharType="begin"/>
            </w:r>
            <w:r w:rsidR="00805E3B">
              <w:rPr>
                <w:noProof/>
                <w:webHidden/>
              </w:rPr>
              <w:instrText xml:space="preserve"> PAGEREF _Toc144941753 \h </w:instrText>
            </w:r>
            <w:r w:rsidR="00805E3B">
              <w:rPr>
                <w:noProof/>
                <w:webHidden/>
              </w:rPr>
            </w:r>
            <w:r w:rsidR="00805E3B">
              <w:rPr>
                <w:noProof/>
                <w:webHidden/>
              </w:rPr>
              <w:fldChar w:fldCharType="separate"/>
            </w:r>
            <w:r>
              <w:rPr>
                <w:noProof/>
                <w:webHidden/>
              </w:rPr>
              <w:t>6</w:t>
            </w:r>
            <w:r w:rsidR="00805E3B">
              <w:rPr>
                <w:noProof/>
                <w:webHidden/>
              </w:rPr>
              <w:fldChar w:fldCharType="end"/>
            </w:r>
          </w:hyperlink>
        </w:p>
        <w:p w14:paraId="46FEF5A1" w14:textId="093B28E4" w:rsidR="00805E3B" w:rsidRDefault="00FA7A2D">
          <w:pPr>
            <w:pStyle w:val="TM3"/>
            <w:tabs>
              <w:tab w:val="left" w:pos="880"/>
              <w:tab w:val="right" w:leader="dot" w:pos="9771"/>
            </w:tabs>
            <w:rPr>
              <w:rFonts w:eastAsiaTheme="minorEastAsia"/>
              <w:noProof/>
              <w:lang w:eastAsia="fr-FR"/>
            </w:rPr>
          </w:pPr>
          <w:hyperlink w:anchor="_Toc144941754" w:history="1">
            <w:r w:rsidR="00805E3B" w:rsidRPr="005F68E1">
              <w:rPr>
                <w:rStyle w:val="Lienhypertexte"/>
                <w:noProof/>
              </w:rPr>
              <w:t>1.</w:t>
            </w:r>
            <w:r w:rsidR="00805E3B">
              <w:rPr>
                <w:rFonts w:eastAsiaTheme="minorEastAsia"/>
                <w:noProof/>
                <w:lang w:eastAsia="fr-FR"/>
              </w:rPr>
              <w:tab/>
            </w:r>
            <w:r w:rsidR="00805E3B" w:rsidRPr="005F68E1">
              <w:rPr>
                <w:rStyle w:val="Lienhypertexte"/>
                <w:noProof/>
              </w:rPr>
              <w:t>Obligations propres aux pharmaciens d’officine</w:t>
            </w:r>
            <w:r w:rsidR="00805E3B">
              <w:rPr>
                <w:noProof/>
                <w:webHidden/>
              </w:rPr>
              <w:tab/>
            </w:r>
            <w:r w:rsidR="00805E3B">
              <w:rPr>
                <w:noProof/>
                <w:webHidden/>
              </w:rPr>
              <w:fldChar w:fldCharType="begin"/>
            </w:r>
            <w:r w:rsidR="00805E3B">
              <w:rPr>
                <w:noProof/>
                <w:webHidden/>
              </w:rPr>
              <w:instrText xml:space="preserve"> PAGEREF _Toc144941754 \h </w:instrText>
            </w:r>
            <w:r w:rsidR="00805E3B">
              <w:rPr>
                <w:noProof/>
                <w:webHidden/>
              </w:rPr>
            </w:r>
            <w:r w:rsidR="00805E3B">
              <w:rPr>
                <w:noProof/>
                <w:webHidden/>
              </w:rPr>
              <w:fldChar w:fldCharType="separate"/>
            </w:r>
            <w:r>
              <w:rPr>
                <w:noProof/>
                <w:webHidden/>
              </w:rPr>
              <w:t>6</w:t>
            </w:r>
            <w:r w:rsidR="00805E3B">
              <w:rPr>
                <w:noProof/>
                <w:webHidden/>
              </w:rPr>
              <w:fldChar w:fldCharType="end"/>
            </w:r>
          </w:hyperlink>
        </w:p>
        <w:p w14:paraId="3E21EBAB" w14:textId="3466AC00" w:rsidR="00805E3B" w:rsidRDefault="00FA7A2D">
          <w:pPr>
            <w:pStyle w:val="TM3"/>
            <w:tabs>
              <w:tab w:val="left" w:pos="880"/>
              <w:tab w:val="right" w:leader="dot" w:pos="9771"/>
            </w:tabs>
            <w:rPr>
              <w:rFonts w:eastAsiaTheme="minorEastAsia"/>
              <w:noProof/>
              <w:lang w:eastAsia="fr-FR"/>
            </w:rPr>
          </w:pPr>
          <w:hyperlink w:anchor="_Toc144941755" w:history="1">
            <w:r w:rsidR="00805E3B" w:rsidRPr="005F68E1">
              <w:rPr>
                <w:rStyle w:val="Lienhypertexte"/>
                <w:noProof/>
              </w:rPr>
              <w:t>2.</w:t>
            </w:r>
            <w:r w:rsidR="00805E3B">
              <w:rPr>
                <w:rFonts w:eastAsiaTheme="minorEastAsia"/>
                <w:noProof/>
                <w:lang w:eastAsia="fr-FR"/>
              </w:rPr>
              <w:tab/>
            </w:r>
            <w:r w:rsidR="00805E3B" w:rsidRPr="005F68E1">
              <w:rPr>
                <w:rStyle w:val="Lienhypertexte"/>
                <w:noProof/>
              </w:rPr>
              <w:t>Obligations de la Pharmacie d'Officine vis-à-vis de l’établissement</w:t>
            </w:r>
            <w:r w:rsidR="00805E3B">
              <w:rPr>
                <w:noProof/>
                <w:webHidden/>
              </w:rPr>
              <w:tab/>
            </w:r>
            <w:r w:rsidR="00805E3B">
              <w:rPr>
                <w:noProof/>
                <w:webHidden/>
              </w:rPr>
              <w:fldChar w:fldCharType="begin"/>
            </w:r>
            <w:r w:rsidR="00805E3B">
              <w:rPr>
                <w:noProof/>
                <w:webHidden/>
              </w:rPr>
              <w:instrText xml:space="preserve"> PAGEREF _Toc144941755 \h </w:instrText>
            </w:r>
            <w:r w:rsidR="00805E3B">
              <w:rPr>
                <w:noProof/>
                <w:webHidden/>
              </w:rPr>
            </w:r>
            <w:r w:rsidR="00805E3B">
              <w:rPr>
                <w:noProof/>
                <w:webHidden/>
              </w:rPr>
              <w:fldChar w:fldCharType="separate"/>
            </w:r>
            <w:r>
              <w:rPr>
                <w:noProof/>
                <w:webHidden/>
              </w:rPr>
              <w:t>6</w:t>
            </w:r>
            <w:r w:rsidR="00805E3B">
              <w:rPr>
                <w:noProof/>
                <w:webHidden/>
              </w:rPr>
              <w:fldChar w:fldCharType="end"/>
            </w:r>
          </w:hyperlink>
        </w:p>
        <w:p w14:paraId="365AD238" w14:textId="1AAFE169" w:rsidR="00805E3B" w:rsidRDefault="00FA7A2D">
          <w:pPr>
            <w:pStyle w:val="TM1"/>
            <w:tabs>
              <w:tab w:val="right" w:leader="dot" w:pos="9771"/>
            </w:tabs>
            <w:rPr>
              <w:rFonts w:eastAsiaTheme="minorEastAsia"/>
              <w:noProof/>
              <w:lang w:eastAsia="fr-FR"/>
            </w:rPr>
          </w:pPr>
          <w:hyperlink w:anchor="_Toc144941756" w:history="1">
            <w:r w:rsidR="00805E3B" w:rsidRPr="005F68E1">
              <w:rPr>
                <w:rStyle w:val="Lienhypertexte"/>
                <w:noProof/>
              </w:rPr>
              <w:t>ARTICLE 3 : MESURES RELATIVES A LA PREPARATION DES TRAITEMENTS</w:t>
            </w:r>
            <w:r w:rsidR="00805E3B">
              <w:rPr>
                <w:noProof/>
                <w:webHidden/>
              </w:rPr>
              <w:tab/>
            </w:r>
            <w:r w:rsidR="00805E3B">
              <w:rPr>
                <w:noProof/>
                <w:webHidden/>
              </w:rPr>
              <w:fldChar w:fldCharType="begin"/>
            </w:r>
            <w:r w:rsidR="00805E3B">
              <w:rPr>
                <w:noProof/>
                <w:webHidden/>
              </w:rPr>
              <w:instrText xml:space="preserve"> PAGEREF _Toc144941756 \h </w:instrText>
            </w:r>
            <w:r w:rsidR="00805E3B">
              <w:rPr>
                <w:noProof/>
                <w:webHidden/>
              </w:rPr>
            </w:r>
            <w:r w:rsidR="00805E3B">
              <w:rPr>
                <w:noProof/>
                <w:webHidden/>
              </w:rPr>
              <w:fldChar w:fldCharType="separate"/>
            </w:r>
            <w:r>
              <w:rPr>
                <w:noProof/>
                <w:webHidden/>
              </w:rPr>
              <w:t>8</w:t>
            </w:r>
            <w:r w:rsidR="00805E3B">
              <w:rPr>
                <w:noProof/>
                <w:webHidden/>
              </w:rPr>
              <w:fldChar w:fldCharType="end"/>
            </w:r>
          </w:hyperlink>
        </w:p>
        <w:p w14:paraId="553F72AD" w14:textId="673C946B" w:rsidR="00805E3B" w:rsidRDefault="00FA7A2D">
          <w:pPr>
            <w:pStyle w:val="TM3"/>
            <w:tabs>
              <w:tab w:val="left" w:pos="880"/>
              <w:tab w:val="right" w:leader="dot" w:pos="9771"/>
            </w:tabs>
            <w:rPr>
              <w:rFonts w:eastAsiaTheme="minorEastAsia"/>
              <w:noProof/>
              <w:lang w:eastAsia="fr-FR"/>
            </w:rPr>
          </w:pPr>
          <w:hyperlink w:anchor="_Toc144941757" w:history="1">
            <w:r w:rsidR="00805E3B" w:rsidRPr="005F68E1">
              <w:rPr>
                <w:rStyle w:val="Lienhypertexte"/>
                <w:noProof/>
              </w:rPr>
              <w:t>1.</w:t>
            </w:r>
            <w:r w:rsidR="00805E3B">
              <w:rPr>
                <w:rFonts w:eastAsiaTheme="minorEastAsia"/>
                <w:noProof/>
                <w:lang w:eastAsia="fr-FR"/>
              </w:rPr>
              <w:tab/>
            </w:r>
            <w:r w:rsidR="00805E3B" w:rsidRPr="005F68E1">
              <w:rPr>
                <w:rStyle w:val="Lienhypertexte"/>
                <w:noProof/>
              </w:rPr>
              <w:t>Préparation des doses à administrer</w:t>
            </w:r>
            <w:r w:rsidR="00805E3B">
              <w:rPr>
                <w:noProof/>
                <w:webHidden/>
              </w:rPr>
              <w:tab/>
            </w:r>
            <w:r w:rsidR="00805E3B">
              <w:rPr>
                <w:noProof/>
                <w:webHidden/>
              </w:rPr>
              <w:fldChar w:fldCharType="begin"/>
            </w:r>
            <w:r w:rsidR="00805E3B">
              <w:rPr>
                <w:noProof/>
                <w:webHidden/>
              </w:rPr>
              <w:instrText xml:space="preserve"> PAGEREF _Toc144941757 \h </w:instrText>
            </w:r>
            <w:r w:rsidR="00805E3B">
              <w:rPr>
                <w:noProof/>
                <w:webHidden/>
              </w:rPr>
              <w:fldChar w:fldCharType="separate"/>
            </w:r>
            <w:r>
              <w:rPr>
                <w:b/>
                <w:bCs/>
                <w:noProof/>
                <w:webHidden/>
              </w:rPr>
              <w:t>Erreur ! Signet non défini.</w:t>
            </w:r>
            <w:r w:rsidR="00805E3B">
              <w:rPr>
                <w:noProof/>
                <w:webHidden/>
              </w:rPr>
              <w:fldChar w:fldCharType="end"/>
            </w:r>
          </w:hyperlink>
        </w:p>
        <w:p w14:paraId="7E1F49DC" w14:textId="75B53B5E" w:rsidR="00805E3B" w:rsidRDefault="00FA7A2D">
          <w:pPr>
            <w:pStyle w:val="TM1"/>
            <w:tabs>
              <w:tab w:val="right" w:leader="dot" w:pos="9771"/>
            </w:tabs>
            <w:rPr>
              <w:rFonts w:eastAsiaTheme="minorEastAsia"/>
              <w:noProof/>
              <w:lang w:eastAsia="fr-FR"/>
            </w:rPr>
          </w:pPr>
          <w:hyperlink w:anchor="_Toc144941758" w:history="1">
            <w:r w:rsidR="00805E3B" w:rsidRPr="005F68E1">
              <w:rPr>
                <w:rStyle w:val="Lienhypertexte"/>
                <w:noProof/>
              </w:rPr>
              <w:t>ARTICLE 4 : MESURES RELATIVES AU TRANSPORT DES MEDICAMENTS</w:t>
            </w:r>
            <w:r w:rsidR="00805E3B">
              <w:rPr>
                <w:noProof/>
                <w:webHidden/>
              </w:rPr>
              <w:tab/>
            </w:r>
            <w:r w:rsidR="00805E3B">
              <w:rPr>
                <w:noProof/>
                <w:webHidden/>
              </w:rPr>
              <w:fldChar w:fldCharType="begin"/>
            </w:r>
            <w:r w:rsidR="00805E3B">
              <w:rPr>
                <w:noProof/>
                <w:webHidden/>
              </w:rPr>
              <w:instrText xml:space="preserve"> PAGEREF _Toc144941758 \h </w:instrText>
            </w:r>
            <w:r w:rsidR="00805E3B">
              <w:rPr>
                <w:noProof/>
                <w:webHidden/>
              </w:rPr>
            </w:r>
            <w:r w:rsidR="00805E3B">
              <w:rPr>
                <w:noProof/>
                <w:webHidden/>
              </w:rPr>
              <w:fldChar w:fldCharType="separate"/>
            </w:r>
            <w:r>
              <w:rPr>
                <w:noProof/>
                <w:webHidden/>
              </w:rPr>
              <w:t>9</w:t>
            </w:r>
            <w:r w:rsidR="00805E3B">
              <w:rPr>
                <w:noProof/>
                <w:webHidden/>
              </w:rPr>
              <w:fldChar w:fldCharType="end"/>
            </w:r>
          </w:hyperlink>
        </w:p>
        <w:p w14:paraId="11617629" w14:textId="34A56FBD" w:rsidR="00805E3B" w:rsidRDefault="00FA7A2D">
          <w:pPr>
            <w:pStyle w:val="TM1"/>
            <w:tabs>
              <w:tab w:val="right" w:leader="dot" w:pos="9771"/>
            </w:tabs>
            <w:rPr>
              <w:rFonts w:eastAsiaTheme="minorEastAsia"/>
              <w:noProof/>
              <w:lang w:eastAsia="fr-FR"/>
            </w:rPr>
          </w:pPr>
          <w:hyperlink w:anchor="_Toc144941759" w:history="1">
            <w:r w:rsidR="00805E3B" w:rsidRPr="005F68E1">
              <w:rPr>
                <w:rStyle w:val="Lienhypertexte"/>
                <w:noProof/>
              </w:rPr>
              <w:t>ARTICLE 5 : MESURES RELATIVES A LA RECEPTION ET AU STOCKAGE DES TRAITEMENTS</w:t>
            </w:r>
            <w:r w:rsidR="00805E3B">
              <w:rPr>
                <w:noProof/>
                <w:webHidden/>
              </w:rPr>
              <w:tab/>
            </w:r>
            <w:r w:rsidR="00805E3B">
              <w:rPr>
                <w:noProof/>
                <w:webHidden/>
              </w:rPr>
              <w:fldChar w:fldCharType="begin"/>
            </w:r>
            <w:r w:rsidR="00805E3B">
              <w:rPr>
                <w:noProof/>
                <w:webHidden/>
              </w:rPr>
              <w:instrText xml:space="preserve"> PAGEREF _Toc144941759 \h </w:instrText>
            </w:r>
            <w:r w:rsidR="00805E3B">
              <w:rPr>
                <w:noProof/>
                <w:webHidden/>
              </w:rPr>
            </w:r>
            <w:r w:rsidR="00805E3B">
              <w:rPr>
                <w:noProof/>
                <w:webHidden/>
              </w:rPr>
              <w:fldChar w:fldCharType="separate"/>
            </w:r>
            <w:r>
              <w:rPr>
                <w:noProof/>
                <w:webHidden/>
              </w:rPr>
              <w:t>10</w:t>
            </w:r>
            <w:r w:rsidR="00805E3B">
              <w:rPr>
                <w:noProof/>
                <w:webHidden/>
              </w:rPr>
              <w:fldChar w:fldCharType="end"/>
            </w:r>
          </w:hyperlink>
        </w:p>
        <w:p w14:paraId="62FEB279" w14:textId="5DC216B3" w:rsidR="00805E3B" w:rsidRDefault="00FA7A2D">
          <w:pPr>
            <w:pStyle w:val="TM3"/>
            <w:tabs>
              <w:tab w:val="left" w:pos="880"/>
              <w:tab w:val="right" w:leader="dot" w:pos="9771"/>
            </w:tabs>
            <w:rPr>
              <w:rFonts w:eastAsiaTheme="minorEastAsia"/>
              <w:noProof/>
              <w:lang w:eastAsia="fr-FR"/>
            </w:rPr>
          </w:pPr>
          <w:hyperlink w:anchor="_Toc144941760" w:history="1">
            <w:r w:rsidR="00805E3B" w:rsidRPr="005F68E1">
              <w:rPr>
                <w:rStyle w:val="Lienhypertexte"/>
                <w:noProof/>
              </w:rPr>
              <w:t>1.</w:t>
            </w:r>
            <w:r w:rsidR="00805E3B">
              <w:rPr>
                <w:rFonts w:eastAsiaTheme="minorEastAsia"/>
                <w:noProof/>
                <w:lang w:eastAsia="fr-FR"/>
              </w:rPr>
              <w:tab/>
            </w:r>
            <w:r w:rsidR="00805E3B" w:rsidRPr="005F68E1">
              <w:rPr>
                <w:rStyle w:val="Lienhypertexte"/>
                <w:noProof/>
              </w:rPr>
              <w:t>Stock de médicaments pour répondre à des besoins de soins prescrits en urgence</w:t>
            </w:r>
            <w:r w:rsidR="00805E3B">
              <w:rPr>
                <w:noProof/>
                <w:webHidden/>
              </w:rPr>
              <w:tab/>
            </w:r>
            <w:r w:rsidR="00805E3B">
              <w:rPr>
                <w:noProof/>
                <w:webHidden/>
              </w:rPr>
              <w:fldChar w:fldCharType="begin"/>
            </w:r>
            <w:r w:rsidR="00805E3B">
              <w:rPr>
                <w:noProof/>
                <w:webHidden/>
              </w:rPr>
              <w:instrText xml:space="preserve"> PAGEREF _Toc144941760 \h </w:instrText>
            </w:r>
            <w:r w:rsidR="00805E3B">
              <w:rPr>
                <w:noProof/>
                <w:webHidden/>
              </w:rPr>
            </w:r>
            <w:r w:rsidR="00805E3B">
              <w:rPr>
                <w:noProof/>
                <w:webHidden/>
              </w:rPr>
              <w:fldChar w:fldCharType="separate"/>
            </w:r>
            <w:r>
              <w:rPr>
                <w:noProof/>
                <w:webHidden/>
              </w:rPr>
              <w:t>10</w:t>
            </w:r>
            <w:r w:rsidR="00805E3B">
              <w:rPr>
                <w:noProof/>
                <w:webHidden/>
              </w:rPr>
              <w:fldChar w:fldCharType="end"/>
            </w:r>
          </w:hyperlink>
        </w:p>
        <w:p w14:paraId="6011B2E8" w14:textId="2EF46A7C" w:rsidR="00805E3B" w:rsidRDefault="00FA7A2D">
          <w:pPr>
            <w:pStyle w:val="TM3"/>
            <w:tabs>
              <w:tab w:val="left" w:pos="880"/>
              <w:tab w:val="right" w:leader="dot" w:pos="9771"/>
            </w:tabs>
            <w:rPr>
              <w:rFonts w:eastAsiaTheme="minorEastAsia"/>
              <w:noProof/>
              <w:lang w:eastAsia="fr-FR"/>
            </w:rPr>
          </w:pPr>
          <w:hyperlink w:anchor="_Toc144941761" w:history="1">
            <w:r w:rsidR="00805E3B" w:rsidRPr="005F68E1">
              <w:rPr>
                <w:rStyle w:val="Lienhypertexte"/>
                <w:noProof/>
              </w:rPr>
              <w:t>2.</w:t>
            </w:r>
            <w:r w:rsidR="00805E3B">
              <w:rPr>
                <w:rFonts w:eastAsiaTheme="minorEastAsia"/>
                <w:noProof/>
                <w:lang w:eastAsia="fr-FR"/>
              </w:rPr>
              <w:tab/>
            </w:r>
            <w:r w:rsidR="00805E3B" w:rsidRPr="005F68E1">
              <w:rPr>
                <w:rStyle w:val="Lienhypertexte"/>
                <w:noProof/>
              </w:rPr>
              <w:t>Chariot d’urgence</w:t>
            </w:r>
            <w:r w:rsidR="00805E3B">
              <w:rPr>
                <w:noProof/>
                <w:webHidden/>
              </w:rPr>
              <w:tab/>
            </w:r>
            <w:r w:rsidR="00805E3B">
              <w:rPr>
                <w:noProof/>
                <w:webHidden/>
              </w:rPr>
              <w:fldChar w:fldCharType="begin"/>
            </w:r>
            <w:r w:rsidR="00805E3B">
              <w:rPr>
                <w:noProof/>
                <w:webHidden/>
              </w:rPr>
              <w:instrText xml:space="preserve"> PAGEREF _Toc144941761 \h </w:instrText>
            </w:r>
            <w:r w:rsidR="00805E3B">
              <w:rPr>
                <w:noProof/>
                <w:webHidden/>
              </w:rPr>
            </w:r>
            <w:r w:rsidR="00805E3B">
              <w:rPr>
                <w:noProof/>
                <w:webHidden/>
              </w:rPr>
              <w:fldChar w:fldCharType="separate"/>
            </w:r>
            <w:r>
              <w:rPr>
                <w:noProof/>
                <w:webHidden/>
              </w:rPr>
              <w:t>11</w:t>
            </w:r>
            <w:r w:rsidR="00805E3B">
              <w:rPr>
                <w:noProof/>
                <w:webHidden/>
              </w:rPr>
              <w:fldChar w:fldCharType="end"/>
            </w:r>
          </w:hyperlink>
        </w:p>
        <w:p w14:paraId="22095E27" w14:textId="03316782" w:rsidR="00805E3B" w:rsidRDefault="00FA7A2D">
          <w:pPr>
            <w:pStyle w:val="TM1"/>
            <w:tabs>
              <w:tab w:val="right" w:leader="dot" w:pos="9771"/>
            </w:tabs>
            <w:rPr>
              <w:rFonts w:eastAsiaTheme="minorEastAsia"/>
              <w:noProof/>
              <w:lang w:eastAsia="fr-FR"/>
            </w:rPr>
          </w:pPr>
          <w:hyperlink w:anchor="_Toc144941762" w:history="1">
            <w:r w:rsidR="00805E3B" w:rsidRPr="005F68E1">
              <w:rPr>
                <w:rStyle w:val="Lienhypertexte"/>
                <w:noProof/>
              </w:rPr>
              <w:t>ARTICLE 6 : EVALUATION DE LA CONVENTION</w:t>
            </w:r>
            <w:r w:rsidR="00805E3B">
              <w:rPr>
                <w:noProof/>
                <w:webHidden/>
              </w:rPr>
              <w:tab/>
            </w:r>
            <w:r w:rsidR="00805E3B">
              <w:rPr>
                <w:noProof/>
                <w:webHidden/>
              </w:rPr>
              <w:fldChar w:fldCharType="begin"/>
            </w:r>
            <w:r w:rsidR="00805E3B">
              <w:rPr>
                <w:noProof/>
                <w:webHidden/>
              </w:rPr>
              <w:instrText xml:space="preserve"> PAGEREF _Toc144941762 \h </w:instrText>
            </w:r>
            <w:r w:rsidR="00805E3B">
              <w:rPr>
                <w:noProof/>
                <w:webHidden/>
              </w:rPr>
            </w:r>
            <w:r w:rsidR="00805E3B">
              <w:rPr>
                <w:noProof/>
                <w:webHidden/>
              </w:rPr>
              <w:fldChar w:fldCharType="separate"/>
            </w:r>
            <w:r>
              <w:rPr>
                <w:noProof/>
                <w:webHidden/>
              </w:rPr>
              <w:t>11</w:t>
            </w:r>
            <w:r w:rsidR="00805E3B">
              <w:rPr>
                <w:noProof/>
                <w:webHidden/>
              </w:rPr>
              <w:fldChar w:fldCharType="end"/>
            </w:r>
          </w:hyperlink>
        </w:p>
        <w:p w14:paraId="5C6DB8E9" w14:textId="0ECC73BA" w:rsidR="00805E3B" w:rsidRDefault="00FA7A2D">
          <w:pPr>
            <w:pStyle w:val="TM1"/>
            <w:tabs>
              <w:tab w:val="right" w:leader="dot" w:pos="9771"/>
            </w:tabs>
            <w:rPr>
              <w:rFonts w:eastAsiaTheme="minorEastAsia"/>
              <w:noProof/>
              <w:lang w:eastAsia="fr-FR"/>
            </w:rPr>
          </w:pPr>
          <w:hyperlink w:anchor="_Toc144941763" w:history="1">
            <w:r w:rsidR="00805E3B" w:rsidRPr="005F68E1">
              <w:rPr>
                <w:rStyle w:val="Lienhypertexte"/>
                <w:noProof/>
              </w:rPr>
              <w:t>ARTICLE 7 : DATE D’EFFET, DUREE, RENOUVELLEMENT ET RESILIATION</w:t>
            </w:r>
            <w:r w:rsidR="00805E3B">
              <w:rPr>
                <w:noProof/>
                <w:webHidden/>
              </w:rPr>
              <w:tab/>
            </w:r>
            <w:r w:rsidR="00805E3B">
              <w:rPr>
                <w:noProof/>
                <w:webHidden/>
              </w:rPr>
              <w:fldChar w:fldCharType="begin"/>
            </w:r>
            <w:r w:rsidR="00805E3B">
              <w:rPr>
                <w:noProof/>
                <w:webHidden/>
              </w:rPr>
              <w:instrText xml:space="preserve"> PAGEREF _Toc144941763 \h </w:instrText>
            </w:r>
            <w:r w:rsidR="00805E3B">
              <w:rPr>
                <w:noProof/>
                <w:webHidden/>
              </w:rPr>
            </w:r>
            <w:r w:rsidR="00805E3B">
              <w:rPr>
                <w:noProof/>
                <w:webHidden/>
              </w:rPr>
              <w:fldChar w:fldCharType="separate"/>
            </w:r>
            <w:r>
              <w:rPr>
                <w:noProof/>
                <w:webHidden/>
              </w:rPr>
              <w:t>11</w:t>
            </w:r>
            <w:r w:rsidR="00805E3B">
              <w:rPr>
                <w:noProof/>
                <w:webHidden/>
              </w:rPr>
              <w:fldChar w:fldCharType="end"/>
            </w:r>
          </w:hyperlink>
        </w:p>
        <w:p w14:paraId="03AE604C" w14:textId="4CEC82EB" w:rsidR="00D81519" w:rsidRPr="007F1B1D" w:rsidRDefault="00D81519">
          <w:pPr>
            <w:rPr>
              <w:sz w:val="24"/>
              <w:szCs w:val="24"/>
            </w:rPr>
          </w:pPr>
          <w:r w:rsidRPr="007F1B1D">
            <w:rPr>
              <w:b/>
              <w:bCs/>
              <w:sz w:val="24"/>
              <w:szCs w:val="24"/>
            </w:rPr>
            <w:fldChar w:fldCharType="end"/>
          </w:r>
        </w:p>
      </w:sdtContent>
    </w:sdt>
    <w:p w14:paraId="53B0F80F" w14:textId="77777777" w:rsidR="00D81519" w:rsidRPr="007F1B1D" w:rsidRDefault="00D81519" w:rsidP="00B447C3">
      <w:pPr>
        <w:rPr>
          <w:sz w:val="24"/>
          <w:szCs w:val="24"/>
        </w:rPr>
      </w:pPr>
    </w:p>
    <w:p w14:paraId="472936FC" w14:textId="77777777" w:rsidR="00B447C3" w:rsidRDefault="00B447C3" w:rsidP="00B447C3"/>
    <w:p w14:paraId="13AD51AB" w14:textId="550AEA90" w:rsidR="003C2168" w:rsidRDefault="003C2168" w:rsidP="003C2168"/>
    <w:p w14:paraId="3AD20763" w14:textId="0F35132D" w:rsidR="004B3AEA" w:rsidRPr="00F26AEA" w:rsidRDefault="002E5442" w:rsidP="00F26AEA">
      <w:r>
        <w:br w:type="page"/>
      </w:r>
      <w:r w:rsidR="003C2168" w:rsidRPr="00F26AEA">
        <w:rPr>
          <w:rFonts w:asciiTheme="majorHAnsi" w:eastAsiaTheme="majorEastAsia" w:hAnsiTheme="majorHAnsi" w:cstheme="majorBidi"/>
          <w:color w:val="2E74B5" w:themeColor="accent1" w:themeShade="BF"/>
          <w:sz w:val="32"/>
          <w:szCs w:val="32"/>
        </w:rPr>
        <w:lastRenderedPageBreak/>
        <w:t>CONVENTION</w:t>
      </w:r>
      <w:r w:rsidR="00D81519" w:rsidRPr="00F26AEA">
        <w:rPr>
          <w:rFonts w:asciiTheme="majorHAnsi" w:eastAsiaTheme="majorEastAsia" w:hAnsiTheme="majorHAnsi" w:cstheme="majorBidi"/>
          <w:color w:val="2E74B5" w:themeColor="accent1" w:themeShade="BF"/>
          <w:sz w:val="32"/>
          <w:szCs w:val="32"/>
        </w:rPr>
        <w:t xml:space="preserve"> </w:t>
      </w:r>
    </w:p>
    <w:p w14:paraId="7DC74D56" w14:textId="77777777" w:rsidR="00BB208F" w:rsidRDefault="00BB208F" w:rsidP="005C0A81">
      <w:pPr>
        <w:autoSpaceDE w:val="0"/>
        <w:autoSpaceDN w:val="0"/>
        <w:adjustRightInd w:val="0"/>
        <w:spacing w:after="0" w:line="240" w:lineRule="auto"/>
        <w:rPr>
          <w:rFonts w:eastAsia="CIDFont+F1" w:cstheme="minorHAnsi"/>
          <w:sz w:val="24"/>
          <w:szCs w:val="36"/>
        </w:rPr>
      </w:pPr>
    </w:p>
    <w:p w14:paraId="6B72CDC7" w14:textId="3D028BAA" w:rsidR="005C0A81" w:rsidRPr="00BB208F" w:rsidRDefault="005C0A81" w:rsidP="005C0A81">
      <w:pPr>
        <w:autoSpaceDE w:val="0"/>
        <w:autoSpaceDN w:val="0"/>
        <w:adjustRightInd w:val="0"/>
        <w:spacing w:after="0" w:line="240" w:lineRule="auto"/>
        <w:rPr>
          <w:rFonts w:eastAsia="CIDFont+F1" w:cstheme="minorHAnsi"/>
          <w:sz w:val="24"/>
          <w:szCs w:val="36"/>
        </w:rPr>
      </w:pPr>
      <w:r w:rsidRPr="00BB208F">
        <w:rPr>
          <w:rFonts w:eastAsia="CIDFont+F1" w:cstheme="minorHAnsi"/>
          <w:sz w:val="24"/>
          <w:szCs w:val="36"/>
        </w:rPr>
        <w:t>Entre d’une part :</w:t>
      </w:r>
    </w:p>
    <w:p w14:paraId="6EE5B134" w14:textId="77777777" w:rsidR="00BB208F" w:rsidRDefault="00BB208F" w:rsidP="005C0A81">
      <w:pPr>
        <w:autoSpaceDE w:val="0"/>
        <w:autoSpaceDN w:val="0"/>
        <w:adjustRightInd w:val="0"/>
        <w:spacing w:after="0" w:line="240" w:lineRule="auto"/>
        <w:rPr>
          <w:rFonts w:eastAsia="CIDFont+F1" w:cstheme="minorHAnsi"/>
          <w:sz w:val="24"/>
          <w:szCs w:val="36"/>
        </w:rPr>
      </w:pPr>
    </w:p>
    <w:p w14:paraId="2E4D4E32" w14:textId="744365F5" w:rsidR="005C0A81" w:rsidRPr="00BB208F" w:rsidRDefault="00BB208F" w:rsidP="00BB208F">
      <w:pPr>
        <w:autoSpaceDE w:val="0"/>
        <w:autoSpaceDN w:val="0"/>
        <w:adjustRightInd w:val="0"/>
        <w:spacing w:after="0" w:line="240" w:lineRule="auto"/>
        <w:ind w:left="708"/>
        <w:rPr>
          <w:rFonts w:eastAsia="CIDFont+F1" w:cstheme="minorHAnsi"/>
          <w:sz w:val="24"/>
          <w:szCs w:val="36"/>
        </w:rPr>
      </w:pPr>
      <w:r>
        <w:rPr>
          <w:rFonts w:eastAsia="CIDFont+F1" w:cstheme="minorHAnsi"/>
          <w:b/>
          <w:sz w:val="24"/>
          <w:szCs w:val="36"/>
        </w:rPr>
        <w:t>L'établissement</w:t>
      </w:r>
      <w:r>
        <w:rPr>
          <w:rFonts w:eastAsia="CIDFont+F1" w:cstheme="minorHAnsi"/>
          <w:sz w:val="24"/>
          <w:szCs w:val="36"/>
        </w:rPr>
        <w:t> </w:t>
      </w:r>
    </w:p>
    <w:p w14:paraId="11EC5A87" w14:textId="4E0D8F78" w:rsidR="005C0A81" w:rsidRPr="00BB208F" w:rsidRDefault="00BB208F" w:rsidP="00BB208F">
      <w:pPr>
        <w:autoSpaceDE w:val="0"/>
        <w:autoSpaceDN w:val="0"/>
        <w:adjustRightInd w:val="0"/>
        <w:spacing w:after="0" w:line="240" w:lineRule="auto"/>
        <w:ind w:left="708"/>
        <w:rPr>
          <w:rFonts w:eastAsia="CIDFont+F1" w:cstheme="minorHAnsi"/>
          <w:sz w:val="24"/>
          <w:szCs w:val="36"/>
        </w:rPr>
      </w:pPr>
      <w:r>
        <w:rPr>
          <w:rFonts w:eastAsia="CIDFont+F1" w:cstheme="minorHAnsi"/>
          <w:sz w:val="24"/>
          <w:szCs w:val="36"/>
        </w:rPr>
        <w:t xml:space="preserve">Numéro FINESS : </w:t>
      </w:r>
    </w:p>
    <w:p w14:paraId="6AC87666" w14:textId="21582844" w:rsidR="00BB208F" w:rsidRPr="00BB208F" w:rsidRDefault="005C0A81" w:rsidP="00BB208F">
      <w:pPr>
        <w:autoSpaceDE w:val="0"/>
        <w:autoSpaceDN w:val="0"/>
        <w:adjustRightInd w:val="0"/>
        <w:spacing w:after="0" w:line="240" w:lineRule="auto"/>
        <w:ind w:left="708"/>
        <w:rPr>
          <w:rFonts w:eastAsia="CIDFont+F1" w:cstheme="minorHAnsi"/>
          <w:sz w:val="24"/>
          <w:szCs w:val="36"/>
        </w:rPr>
      </w:pPr>
      <w:r w:rsidRPr="00BB208F">
        <w:rPr>
          <w:rFonts w:eastAsia="CIDFont+F1" w:cstheme="minorHAnsi"/>
          <w:sz w:val="24"/>
          <w:szCs w:val="36"/>
        </w:rPr>
        <w:t>Adresse complète</w:t>
      </w:r>
      <w:r w:rsidR="00BB208F">
        <w:rPr>
          <w:rFonts w:eastAsia="CIDFont+F1" w:cstheme="minorHAnsi"/>
          <w:sz w:val="24"/>
          <w:szCs w:val="36"/>
        </w:rPr>
        <w:t> :</w:t>
      </w:r>
      <w:r w:rsidRPr="00BB208F">
        <w:rPr>
          <w:rFonts w:eastAsia="CIDFont+F1" w:cstheme="minorHAnsi"/>
          <w:sz w:val="24"/>
          <w:szCs w:val="36"/>
        </w:rPr>
        <w:t xml:space="preserve"> </w:t>
      </w:r>
    </w:p>
    <w:p w14:paraId="1019A3DF" w14:textId="24B726CC" w:rsidR="005C0A81" w:rsidRPr="00BB208F" w:rsidRDefault="005C0A81" w:rsidP="00BB208F">
      <w:pPr>
        <w:autoSpaceDE w:val="0"/>
        <w:autoSpaceDN w:val="0"/>
        <w:adjustRightInd w:val="0"/>
        <w:spacing w:after="0" w:line="240" w:lineRule="auto"/>
        <w:ind w:left="708"/>
        <w:rPr>
          <w:rFonts w:eastAsia="CIDFont+F1" w:cstheme="minorHAnsi"/>
          <w:sz w:val="24"/>
          <w:szCs w:val="36"/>
        </w:rPr>
      </w:pPr>
      <w:r w:rsidRPr="00BB208F">
        <w:rPr>
          <w:rFonts w:eastAsia="CIDFont+F1" w:cstheme="minorHAnsi"/>
          <w:sz w:val="24"/>
          <w:szCs w:val="36"/>
        </w:rPr>
        <w:t>Représenté par</w:t>
      </w:r>
      <w:r w:rsidR="00BB208F">
        <w:rPr>
          <w:rFonts w:eastAsia="CIDFont+F1" w:cstheme="minorHAnsi"/>
          <w:sz w:val="24"/>
          <w:szCs w:val="36"/>
        </w:rPr>
        <w:t> :</w:t>
      </w:r>
    </w:p>
    <w:p w14:paraId="28D87DFD" w14:textId="77777777" w:rsidR="005C0A81" w:rsidRPr="00BB208F" w:rsidRDefault="005C0A81" w:rsidP="00BB208F">
      <w:pPr>
        <w:autoSpaceDE w:val="0"/>
        <w:autoSpaceDN w:val="0"/>
        <w:adjustRightInd w:val="0"/>
        <w:spacing w:after="0" w:line="240" w:lineRule="auto"/>
        <w:ind w:left="708"/>
        <w:rPr>
          <w:rFonts w:eastAsia="CIDFont+F1" w:cstheme="minorHAnsi"/>
          <w:sz w:val="24"/>
          <w:szCs w:val="36"/>
        </w:rPr>
      </w:pPr>
    </w:p>
    <w:p w14:paraId="42B05D94" w14:textId="6D1A4126" w:rsidR="005C0A81" w:rsidRPr="00BB208F" w:rsidRDefault="005C0A81" w:rsidP="00BB208F">
      <w:pPr>
        <w:autoSpaceDE w:val="0"/>
        <w:autoSpaceDN w:val="0"/>
        <w:adjustRightInd w:val="0"/>
        <w:spacing w:after="0" w:line="240" w:lineRule="auto"/>
        <w:ind w:left="708"/>
        <w:rPr>
          <w:rFonts w:eastAsia="CIDFont+F1" w:cstheme="minorHAnsi"/>
          <w:sz w:val="24"/>
          <w:szCs w:val="36"/>
        </w:rPr>
      </w:pPr>
      <w:r w:rsidRPr="00BB208F">
        <w:rPr>
          <w:rFonts w:eastAsia="CIDFont+F1" w:cstheme="minorHAnsi"/>
          <w:sz w:val="24"/>
          <w:szCs w:val="36"/>
        </w:rPr>
        <w:t xml:space="preserve">Ci-après dénommé « </w:t>
      </w:r>
      <w:r w:rsidR="00912B3D">
        <w:rPr>
          <w:rFonts w:eastAsia="CIDFont+F1" w:cstheme="minorHAnsi"/>
          <w:sz w:val="24"/>
          <w:szCs w:val="36"/>
        </w:rPr>
        <w:t>l’établissement</w:t>
      </w:r>
      <w:r w:rsidR="00F20167">
        <w:rPr>
          <w:rFonts w:eastAsia="CIDFont+F1" w:cstheme="minorHAnsi"/>
          <w:sz w:val="24"/>
          <w:szCs w:val="36"/>
        </w:rPr>
        <w:t xml:space="preserve"> </w:t>
      </w:r>
      <w:r w:rsidRPr="00BB208F">
        <w:rPr>
          <w:rFonts w:eastAsia="CIDFont+F1" w:cstheme="minorHAnsi"/>
          <w:sz w:val="24"/>
          <w:szCs w:val="36"/>
        </w:rPr>
        <w:t>»</w:t>
      </w:r>
    </w:p>
    <w:p w14:paraId="4ED729CF" w14:textId="2F6BD74C" w:rsidR="005C0A81" w:rsidRPr="00BB208F" w:rsidRDefault="005C0A81" w:rsidP="005C0A81">
      <w:pPr>
        <w:autoSpaceDE w:val="0"/>
        <w:autoSpaceDN w:val="0"/>
        <w:adjustRightInd w:val="0"/>
        <w:spacing w:after="0" w:line="240" w:lineRule="auto"/>
        <w:rPr>
          <w:rFonts w:eastAsia="CIDFont+F1" w:cstheme="minorHAnsi"/>
          <w:sz w:val="24"/>
          <w:szCs w:val="36"/>
        </w:rPr>
      </w:pPr>
    </w:p>
    <w:p w14:paraId="572F4411" w14:textId="77777777" w:rsidR="005C0A81" w:rsidRPr="00BB208F" w:rsidRDefault="005C0A81" w:rsidP="005C0A81">
      <w:pPr>
        <w:autoSpaceDE w:val="0"/>
        <w:autoSpaceDN w:val="0"/>
        <w:adjustRightInd w:val="0"/>
        <w:spacing w:after="0" w:line="240" w:lineRule="auto"/>
        <w:rPr>
          <w:rFonts w:eastAsia="CIDFont+F1" w:cstheme="minorHAnsi"/>
          <w:sz w:val="24"/>
          <w:szCs w:val="36"/>
        </w:rPr>
      </w:pPr>
    </w:p>
    <w:p w14:paraId="0302E01E" w14:textId="4B5328A0" w:rsidR="005C0A81" w:rsidRPr="00BB208F" w:rsidRDefault="005C0A81" w:rsidP="005C0A81">
      <w:pPr>
        <w:autoSpaceDE w:val="0"/>
        <w:autoSpaceDN w:val="0"/>
        <w:adjustRightInd w:val="0"/>
        <w:spacing w:after="0" w:line="240" w:lineRule="auto"/>
        <w:rPr>
          <w:rFonts w:eastAsia="CIDFont+F1" w:cstheme="minorHAnsi"/>
          <w:sz w:val="24"/>
          <w:szCs w:val="36"/>
        </w:rPr>
      </w:pPr>
      <w:r w:rsidRPr="00BB208F">
        <w:rPr>
          <w:rFonts w:eastAsia="CIDFont+F1" w:cstheme="minorHAnsi"/>
          <w:sz w:val="24"/>
          <w:szCs w:val="36"/>
        </w:rPr>
        <w:t>Et, d'autre part :</w:t>
      </w:r>
    </w:p>
    <w:p w14:paraId="504A63E8" w14:textId="50E796B1" w:rsidR="005C0A81" w:rsidRPr="00BB208F" w:rsidRDefault="005C0A81" w:rsidP="005C0A81">
      <w:pPr>
        <w:autoSpaceDE w:val="0"/>
        <w:autoSpaceDN w:val="0"/>
        <w:adjustRightInd w:val="0"/>
        <w:spacing w:after="0" w:line="240" w:lineRule="auto"/>
        <w:rPr>
          <w:rFonts w:eastAsia="CIDFont+F1" w:cstheme="minorHAnsi"/>
          <w:sz w:val="24"/>
          <w:szCs w:val="36"/>
        </w:rPr>
      </w:pPr>
    </w:p>
    <w:p w14:paraId="5F8CF537" w14:textId="77777777" w:rsidR="005C0A81" w:rsidRPr="00BB208F" w:rsidRDefault="005C0A81" w:rsidP="005C0A81">
      <w:pPr>
        <w:autoSpaceDE w:val="0"/>
        <w:autoSpaceDN w:val="0"/>
        <w:adjustRightInd w:val="0"/>
        <w:spacing w:after="0" w:line="240" w:lineRule="auto"/>
        <w:rPr>
          <w:rFonts w:eastAsia="CIDFont+F1" w:cstheme="minorHAnsi"/>
          <w:sz w:val="24"/>
          <w:szCs w:val="36"/>
        </w:rPr>
      </w:pPr>
    </w:p>
    <w:p w14:paraId="205CA136" w14:textId="48CAD529" w:rsidR="005C0A81" w:rsidRDefault="00BB208F" w:rsidP="00BB208F">
      <w:pPr>
        <w:autoSpaceDE w:val="0"/>
        <w:autoSpaceDN w:val="0"/>
        <w:adjustRightInd w:val="0"/>
        <w:spacing w:after="0" w:line="240" w:lineRule="auto"/>
        <w:ind w:left="708"/>
        <w:rPr>
          <w:rFonts w:eastAsia="CIDFont+F1" w:cstheme="minorHAnsi"/>
          <w:b/>
          <w:sz w:val="24"/>
          <w:szCs w:val="36"/>
        </w:rPr>
      </w:pPr>
      <w:r>
        <w:rPr>
          <w:rFonts w:eastAsia="CIDFont+F1" w:cstheme="minorHAnsi"/>
          <w:b/>
          <w:sz w:val="24"/>
          <w:szCs w:val="36"/>
        </w:rPr>
        <w:t>La pharmacie d'o</w:t>
      </w:r>
      <w:r w:rsidR="005C0A81" w:rsidRPr="00BB208F">
        <w:rPr>
          <w:rFonts w:eastAsia="CIDFont+F1" w:cstheme="minorHAnsi"/>
          <w:b/>
          <w:sz w:val="24"/>
          <w:szCs w:val="36"/>
        </w:rPr>
        <w:t>fficine</w:t>
      </w:r>
    </w:p>
    <w:p w14:paraId="2860577E" w14:textId="5650B733" w:rsidR="00730134" w:rsidRPr="00730134" w:rsidRDefault="00730134" w:rsidP="00BB208F">
      <w:pPr>
        <w:autoSpaceDE w:val="0"/>
        <w:autoSpaceDN w:val="0"/>
        <w:adjustRightInd w:val="0"/>
        <w:spacing w:after="0" w:line="240" w:lineRule="auto"/>
        <w:ind w:left="708"/>
        <w:rPr>
          <w:rFonts w:eastAsia="CIDFont+F1" w:cstheme="minorHAnsi"/>
          <w:sz w:val="24"/>
          <w:szCs w:val="36"/>
        </w:rPr>
      </w:pPr>
      <w:r w:rsidRPr="00730134">
        <w:rPr>
          <w:rFonts w:eastAsia="CIDFont+F1" w:cstheme="minorHAnsi"/>
          <w:sz w:val="24"/>
          <w:szCs w:val="36"/>
        </w:rPr>
        <w:t>N° de licence</w:t>
      </w:r>
      <w:r>
        <w:rPr>
          <w:rFonts w:eastAsia="CIDFont+F1" w:cstheme="minorHAnsi"/>
          <w:sz w:val="24"/>
          <w:szCs w:val="36"/>
        </w:rPr>
        <w:t> :</w:t>
      </w:r>
    </w:p>
    <w:p w14:paraId="1CA164F2" w14:textId="77777777" w:rsidR="005C0A81" w:rsidRPr="00BB208F" w:rsidRDefault="005C0A81" w:rsidP="00BB208F">
      <w:pPr>
        <w:autoSpaceDE w:val="0"/>
        <w:autoSpaceDN w:val="0"/>
        <w:adjustRightInd w:val="0"/>
        <w:spacing w:after="0" w:line="240" w:lineRule="auto"/>
        <w:ind w:left="708"/>
        <w:rPr>
          <w:rFonts w:eastAsia="CIDFont+F1" w:cstheme="minorHAnsi"/>
          <w:sz w:val="24"/>
          <w:szCs w:val="36"/>
        </w:rPr>
      </w:pPr>
      <w:r w:rsidRPr="00BB208F">
        <w:rPr>
          <w:rFonts w:eastAsia="CIDFont+F1" w:cstheme="minorHAnsi"/>
          <w:sz w:val="24"/>
          <w:szCs w:val="36"/>
        </w:rPr>
        <w:t>Représentée par :</w:t>
      </w:r>
    </w:p>
    <w:p w14:paraId="76AA579A" w14:textId="3373666E" w:rsidR="005C0A81" w:rsidRPr="00BB208F" w:rsidRDefault="005C0A81" w:rsidP="00BB208F">
      <w:pPr>
        <w:autoSpaceDE w:val="0"/>
        <w:autoSpaceDN w:val="0"/>
        <w:adjustRightInd w:val="0"/>
        <w:spacing w:after="0" w:line="240" w:lineRule="auto"/>
        <w:ind w:left="708"/>
        <w:rPr>
          <w:rFonts w:eastAsia="CIDFont+F1" w:cstheme="minorHAnsi"/>
          <w:sz w:val="24"/>
          <w:szCs w:val="36"/>
        </w:rPr>
      </w:pPr>
      <w:r w:rsidRPr="00BB208F">
        <w:rPr>
          <w:rFonts w:eastAsia="CIDFont+F1" w:cstheme="minorHAnsi"/>
          <w:sz w:val="24"/>
          <w:szCs w:val="36"/>
        </w:rPr>
        <w:t>En qualité de titulaire</w:t>
      </w:r>
      <w:r w:rsidR="00B408BC">
        <w:rPr>
          <w:rFonts w:eastAsia="CIDFont+F1" w:cstheme="minorHAnsi"/>
          <w:sz w:val="24"/>
          <w:szCs w:val="36"/>
        </w:rPr>
        <w:t>(s)</w:t>
      </w:r>
      <w:r w:rsidRPr="00BB208F">
        <w:rPr>
          <w:rFonts w:eastAsia="CIDFont+F1" w:cstheme="minorHAnsi"/>
          <w:sz w:val="24"/>
          <w:szCs w:val="36"/>
        </w:rPr>
        <w:t xml:space="preserve"> de l'officine dont les coordonnées sont :</w:t>
      </w:r>
    </w:p>
    <w:p w14:paraId="7FEF97EB" w14:textId="77777777" w:rsidR="005C0A81" w:rsidRPr="00BB208F" w:rsidRDefault="005C0A81" w:rsidP="00BB208F">
      <w:pPr>
        <w:autoSpaceDE w:val="0"/>
        <w:autoSpaceDN w:val="0"/>
        <w:adjustRightInd w:val="0"/>
        <w:spacing w:after="0" w:line="240" w:lineRule="auto"/>
        <w:ind w:left="708"/>
        <w:rPr>
          <w:rFonts w:eastAsia="CIDFont+F1" w:cstheme="minorHAnsi"/>
          <w:sz w:val="24"/>
          <w:szCs w:val="36"/>
        </w:rPr>
      </w:pPr>
      <w:r w:rsidRPr="00BB208F">
        <w:rPr>
          <w:rFonts w:eastAsia="CIDFont+F1" w:cstheme="minorHAnsi"/>
          <w:sz w:val="24"/>
          <w:szCs w:val="36"/>
        </w:rPr>
        <w:t>Adresse :</w:t>
      </w:r>
    </w:p>
    <w:p w14:paraId="25A3FEA5" w14:textId="77777777" w:rsidR="005C0A81" w:rsidRPr="00BB208F" w:rsidRDefault="005C0A81" w:rsidP="00BB208F">
      <w:pPr>
        <w:autoSpaceDE w:val="0"/>
        <w:autoSpaceDN w:val="0"/>
        <w:adjustRightInd w:val="0"/>
        <w:spacing w:after="0" w:line="240" w:lineRule="auto"/>
        <w:ind w:left="708"/>
        <w:rPr>
          <w:rFonts w:eastAsia="CIDFont+F1" w:cstheme="minorHAnsi"/>
          <w:sz w:val="24"/>
          <w:szCs w:val="36"/>
        </w:rPr>
      </w:pPr>
      <w:r w:rsidRPr="00BB208F">
        <w:rPr>
          <w:rFonts w:eastAsia="CIDFont+F1" w:cstheme="minorHAnsi"/>
          <w:sz w:val="24"/>
          <w:szCs w:val="36"/>
        </w:rPr>
        <w:t>E-mail :</w:t>
      </w:r>
    </w:p>
    <w:p w14:paraId="1F6CC58D" w14:textId="59AC8CE5" w:rsidR="005C0A81" w:rsidRPr="00BB208F" w:rsidRDefault="005C0A81" w:rsidP="00BB208F">
      <w:pPr>
        <w:autoSpaceDE w:val="0"/>
        <w:autoSpaceDN w:val="0"/>
        <w:adjustRightInd w:val="0"/>
        <w:spacing w:after="0" w:line="240" w:lineRule="auto"/>
        <w:ind w:left="708"/>
        <w:rPr>
          <w:rFonts w:eastAsia="CIDFont+F1" w:cstheme="minorHAnsi"/>
          <w:sz w:val="24"/>
          <w:szCs w:val="36"/>
        </w:rPr>
      </w:pPr>
      <w:r w:rsidRPr="00BB208F">
        <w:rPr>
          <w:rFonts w:eastAsia="CIDFont+F1" w:cstheme="minorHAnsi"/>
          <w:sz w:val="24"/>
          <w:szCs w:val="36"/>
        </w:rPr>
        <w:t xml:space="preserve">Téléphone : </w:t>
      </w:r>
      <w:r w:rsidR="00BB208F">
        <w:rPr>
          <w:rFonts w:eastAsia="CIDFont+F1" w:cstheme="minorHAnsi"/>
          <w:sz w:val="24"/>
          <w:szCs w:val="36"/>
        </w:rPr>
        <w:t xml:space="preserve">                                                             </w:t>
      </w:r>
      <w:r w:rsidRPr="00BB208F">
        <w:rPr>
          <w:rFonts w:eastAsia="CIDFont+F1" w:cstheme="minorHAnsi"/>
          <w:sz w:val="24"/>
          <w:szCs w:val="36"/>
        </w:rPr>
        <w:t>Fax :</w:t>
      </w:r>
    </w:p>
    <w:p w14:paraId="7508846C" w14:textId="3B6AE6B9" w:rsidR="005C0A81" w:rsidRPr="00BB208F" w:rsidRDefault="005C0A81" w:rsidP="00BB208F">
      <w:pPr>
        <w:autoSpaceDE w:val="0"/>
        <w:autoSpaceDN w:val="0"/>
        <w:adjustRightInd w:val="0"/>
        <w:spacing w:after="0" w:line="240" w:lineRule="auto"/>
        <w:ind w:left="708"/>
        <w:rPr>
          <w:rFonts w:eastAsia="CIDFont+F1" w:cstheme="minorHAnsi"/>
          <w:sz w:val="24"/>
          <w:szCs w:val="36"/>
        </w:rPr>
      </w:pPr>
      <w:r w:rsidRPr="00BB208F">
        <w:rPr>
          <w:rFonts w:eastAsia="CIDFont+F1" w:cstheme="minorHAnsi"/>
          <w:sz w:val="24"/>
          <w:szCs w:val="36"/>
        </w:rPr>
        <w:t>Ci-après dénommée « pharmacien d’officine</w:t>
      </w:r>
      <w:r w:rsidR="00F77AD6">
        <w:rPr>
          <w:rFonts w:eastAsia="CIDFont+F1" w:cstheme="minorHAnsi"/>
          <w:sz w:val="24"/>
          <w:szCs w:val="36"/>
        </w:rPr>
        <w:t> »</w:t>
      </w:r>
      <w:r w:rsidRPr="00BB208F">
        <w:rPr>
          <w:rFonts w:eastAsia="CIDFont+F1" w:cstheme="minorHAnsi"/>
          <w:sz w:val="24"/>
          <w:szCs w:val="36"/>
        </w:rPr>
        <w:t xml:space="preserve"> ou </w:t>
      </w:r>
      <w:r w:rsidR="00F77AD6">
        <w:rPr>
          <w:rFonts w:eastAsia="CIDFont+F1" w:cstheme="minorHAnsi"/>
          <w:sz w:val="24"/>
          <w:szCs w:val="36"/>
        </w:rPr>
        <w:t>« </w:t>
      </w:r>
      <w:proofErr w:type="spellStart"/>
      <w:r w:rsidRPr="00BB208F">
        <w:rPr>
          <w:rFonts w:eastAsia="CIDFont+F1" w:cstheme="minorHAnsi"/>
          <w:sz w:val="24"/>
          <w:szCs w:val="36"/>
        </w:rPr>
        <w:t>pharmacie</w:t>
      </w:r>
      <w:proofErr w:type="spellEnd"/>
      <w:r w:rsidRPr="00BB208F">
        <w:rPr>
          <w:rFonts w:eastAsia="CIDFont+F1" w:cstheme="minorHAnsi"/>
          <w:sz w:val="24"/>
          <w:szCs w:val="36"/>
        </w:rPr>
        <w:t xml:space="preserve"> d’officine » selon les dispositions conventionnelles</w:t>
      </w:r>
    </w:p>
    <w:p w14:paraId="01688B86" w14:textId="22BD34E0" w:rsidR="005C0A81" w:rsidRPr="00BB208F" w:rsidRDefault="005C0A81" w:rsidP="005C0A81">
      <w:pPr>
        <w:autoSpaceDE w:val="0"/>
        <w:autoSpaceDN w:val="0"/>
        <w:adjustRightInd w:val="0"/>
        <w:spacing w:after="0" w:line="240" w:lineRule="auto"/>
        <w:rPr>
          <w:rFonts w:eastAsia="CIDFont+F1" w:cstheme="minorHAnsi"/>
          <w:sz w:val="24"/>
          <w:szCs w:val="36"/>
        </w:rPr>
      </w:pPr>
    </w:p>
    <w:p w14:paraId="4FA23AC2" w14:textId="1DB51176" w:rsidR="005C0A81" w:rsidRPr="00BB208F" w:rsidRDefault="005C0A81" w:rsidP="005C0A81">
      <w:pPr>
        <w:autoSpaceDE w:val="0"/>
        <w:autoSpaceDN w:val="0"/>
        <w:adjustRightInd w:val="0"/>
        <w:spacing w:after="0" w:line="240" w:lineRule="auto"/>
        <w:rPr>
          <w:rFonts w:eastAsia="CIDFont+F1" w:cstheme="minorHAnsi"/>
          <w:sz w:val="24"/>
          <w:szCs w:val="36"/>
        </w:rPr>
      </w:pPr>
    </w:p>
    <w:p w14:paraId="466BAA18" w14:textId="77777777" w:rsidR="005C0A81" w:rsidRPr="00BB208F" w:rsidRDefault="005C0A81" w:rsidP="005C0A81">
      <w:pPr>
        <w:autoSpaceDE w:val="0"/>
        <w:autoSpaceDN w:val="0"/>
        <w:adjustRightInd w:val="0"/>
        <w:spacing w:after="0" w:line="240" w:lineRule="auto"/>
        <w:rPr>
          <w:rFonts w:eastAsia="CIDFont+F1" w:cstheme="minorHAnsi"/>
          <w:sz w:val="24"/>
          <w:szCs w:val="36"/>
        </w:rPr>
      </w:pPr>
    </w:p>
    <w:p w14:paraId="369D0156" w14:textId="40490088" w:rsidR="00CD4586" w:rsidRDefault="00CD4586" w:rsidP="007F1B1D">
      <w:pPr>
        <w:rPr>
          <w:rFonts w:cstheme="minorHAnsi"/>
          <w:sz w:val="36"/>
          <w:szCs w:val="36"/>
        </w:rPr>
      </w:pPr>
    </w:p>
    <w:p w14:paraId="4BA63567" w14:textId="425B7BA5" w:rsidR="00CD4586" w:rsidRDefault="00CD4586" w:rsidP="007F1B1D">
      <w:pPr>
        <w:rPr>
          <w:rFonts w:cstheme="minorHAnsi"/>
          <w:sz w:val="36"/>
          <w:szCs w:val="36"/>
        </w:rPr>
      </w:pPr>
    </w:p>
    <w:p w14:paraId="4AA350DE" w14:textId="76622C03" w:rsidR="00CD4586" w:rsidRDefault="00CD4586" w:rsidP="007F1B1D">
      <w:pPr>
        <w:rPr>
          <w:rFonts w:cstheme="minorHAnsi"/>
          <w:sz w:val="36"/>
          <w:szCs w:val="36"/>
        </w:rPr>
      </w:pPr>
    </w:p>
    <w:p w14:paraId="2F3F675A" w14:textId="77777777" w:rsidR="00CD4586" w:rsidRPr="00FE669A" w:rsidRDefault="00CD4586" w:rsidP="007F1B1D">
      <w:pPr>
        <w:rPr>
          <w:rFonts w:asciiTheme="majorHAnsi" w:eastAsiaTheme="majorEastAsia" w:hAnsiTheme="majorHAnsi" w:cstheme="majorBidi"/>
          <w:color w:val="2E74B5" w:themeColor="accent1" w:themeShade="BF"/>
          <w:sz w:val="32"/>
          <w:szCs w:val="32"/>
        </w:rPr>
      </w:pPr>
    </w:p>
    <w:p w14:paraId="68DFC8DB" w14:textId="77777777" w:rsidR="00526136" w:rsidRDefault="00526136">
      <w:pPr>
        <w:rPr>
          <w:rFonts w:asciiTheme="majorHAnsi" w:eastAsiaTheme="majorEastAsia" w:hAnsiTheme="majorHAnsi" w:cstheme="majorBidi"/>
          <w:color w:val="2E74B5" w:themeColor="accent1" w:themeShade="BF"/>
          <w:sz w:val="32"/>
          <w:szCs w:val="32"/>
        </w:rPr>
      </w:pPr>
      <w:bookmarkStart w:id="0" w:name="_Toc144941749"/>
      <w:r>
        <w:br w:type="page"/>
      </w:r>
    </w:p>
    <w:p w14:paraId="0983A8F5" w14:textId="2AF2B921" w:rsidR="00AC777F" w:rsidRDefault="00AC777F" w:rsidP="000B5725">
      <w:pPr>
        <w:pStyle w:val="Titre1"/>
        <w:jc w:val="both"/>
      </w:pPr>
      <w:r>
        <w:lastRenderedPageBreak/>
        <w:t>PREAMBULE</w:t>
      </w:r>
    </w:p>
    <w:p w14:paraId="3CB4EFD2" w14:textId="20FF5F2C" w:rsidR="00AC777F" w:rsidRPr="00AC777F" w:rsidRDefault="00AC777F" w:rsidP="00AC777F">
      <w:pPr>
        <w:jc w:val="both"/>
      </w:pPr>
      <w:r>
        <w:t>Cette convention type de partenariat, entre officine et EHPAD sur la sécurisation du circuit de prise en charge médicamenteuse des résidents peut être utilisée comme modèle pour tous les établissements et services sociaux et médico-sociaux (ESSMS) sous réserve de l’actualisation des textes en vigueur.</w:t>
      </w:r>
    </w:p>
    <w:p w14:paraId="5C7FDDBE" w14:textId="2B26C5EC" w:rsidR="003C2168" w:rsidRDefault="003C2168" w:rsidP="000B5725">
      <w:pPr>
        <w:pStyle w:val="Titre1"/>
        <w:jc w:val="both"/>
      </w:pPr>
      <w:r>
        <w:t>OBJET DE LA CONVENTION</w:t>
      </w:r>
      <w:bookmarkEnd w:id="0"/>
      <w:r w:rsidR="00D81519">
        <w:t xml:space="preserve"> </w:t>
      </w:r>
    </w:p>
    <w:p w14:paraId="510F3CB9" w14:textId="59E94370" w:rsidR="0038504F" w:rsidRPr="00B90505" w:rsidRDefault="0038504F" w:rsidP="00B90505">
      <w:pPr>
        <w:jc w:val="both"/>
      </w:pPr>
      <w:r w:rsidRPr="00B90505">
        <w:t>Conformément à l’article L.5126-10 du Code de la santé publique, cette convention précise les modalités de collaboration entre l</w:t>
      </w:r>
      <w:r w:rsidR="00A92C79" w:rsidRPr="00B90505">
        <w:t>’</w:t>
      </w:r>
      <w:r w:rsidR="008B6C56" w:rsidRPr="00B90505">
        <w:t>établissement</w:t>
      </w:r>
      <w:r w:rsidRPr="00B90505">
        <w:t xml:space="preserve"> et le pharmacien d’officine aux fins d’organiser l’approvisionnement pharmaceutique en médicaments et produits de santé, de sécuriser la prise en charge médicamenteuse (PECM) au sein de l’établiss</w:t>
      </w:r>
      <w:r w:rsidR="00A92C79" w:rsidRPr="00B90505">
        <w:t>ement et assurer le bon usage des</w:t>
      </w:r>
      <w:r w:rsidRPr="00B90505">
        <w:t xml:space="preserve"> </w:t>
      </w:r>
      <w:r w:rsidR="00A87E20" w:rsidRPr="0009299C">
        <w:t>médicaments</w:t>
      </w:r>
      <w:r w:rsidR="000E59A4" w:rsidRPr="0009299C">
        <w:t xml:space="preserve"> / produits de santé</w:t>
      </w:r>
      <w:r w:rsidR="0009299C">
        <w:t>.</w:t>
      </w:r>
    </w:p>
    <w:p w14:paraId="46CFDED6" w14:textId="3FFC16D4" w:rsidR="008B6C56" w:rsidRDefault="008B6C56" w:rsidP="00B90505">
      <w:pPr>
        <w:jc w:val="both"/>
      </w:pPr>
      <w:r w:rsidRPr="00B90505">
        <w:t>La convention organise les rapports dans les limites de compétence légale des parties, dans le respect du libre choix et de la dignité de l’usager</w:t>
      </w:r>
      <w:r w:rsidR="00912B3D" w:rsidRPr="00B90505">
        <w:t xml:space="preserve"> et/ou du résident</w:t>
      </w:r>
      <w:r w:rsidRPr="00B90505">
        <w:t>, ainsi que dans le respect de l’indépendance professionnelle du pharmacien.</w:t>
      </w:r>
    </w:p>
    <w:p w14:paraId="4504942A" w14:textId="153E8E30" w:rsidR="00C759EF" w:rsidRPr="00B90505" w:rsidRDefault="00C759EF" w:rsidP="00B90505">
      <w:pPr>
        <w:jc w:val="both"/>
      </w:pPr>
      <w:r>
        <w:t xml:space="preserve">Le circuit, de la prescription à l’administration, </w:t>
      </w:r>
      <w:r w:rsidR="00730134">
        <w:t xml:space="preserve">doit faire </w:t>
      </w:r>
      <w:r>
        <w:t>l’objet d’une description détaillée intégrant le personnel, les logiciels, systèmes d’information, locaux, et matériels.</w:t>
      </w:r>
    </w:p>
    <w:p w14:paraId="2BDFB989" w14:textId="5D8782AA" w:rsidR="003C2168" w:rsidRPr="00B90505" w:rsidRDefault="008B6C56" w:rsidP="00730134">
      <w:pPr>
        <w:jc w:val="both"/>
      </w:pPr>
      <w:r w:rsidRPr="00B90505">
        <w:t xml:space="preserve">Cette convention est conforme à la réglementation en vigueur à la date de signature de la présente convention. Elle est notamment conclue dans le respect du code de la santé publique et du code de l’action sociale et des familles (notamment des </w:t>
      </w:r>
      <w:r w:rsidR="00DB1CA7" w:rsidRPr="00B90505">
        <w:t>articles L. 311-3 et L. 311-4)</w:t>
      </w:r>
      <w:r w:rsidR="00730134">
        <w:t>, en l'absence à date de la convention type définie par arrêté des Ministres de la sécurité sociale et de la santé mentionnée à l'article L.5126-10</w:t>
      </w:r>
      <w:r w:rsidR="00DB1CA7" w:rsidRPr="00B90505">
        <w:t>.</w:t>
      </w:r>
    </w:p>
    <w:p w14:paraId="592F326F" w14:textId="3D9AF506" w:rsidR="007F1B1D" w:rsidRPr="00730134" w:rsidRDefault="007F1B1D" w:rsidP="00730134">
      <w:pPr>
        <w:jc w:val="both"/>
      </w:pPr>
    </w:p>
    <w:p w14:paraId="2A15D2BC" w14:textId="75FE95CF" w:rsidR="00564004" w:rsidRDefault="00564004" w:rsidP="00FE669A">
      <w:pPr>
        <w:pStyle w:val="Titre1"/>
        <w:ind w:left="-142" w:firstLine="142"/>
      </w:pPr>
      <w:bookmarkStart w:id="1" w:name="_Toc144941750"/>
      <w:r>
        <w:t xml:space="preserve">ARTICLE 1 : MESURES RELATIVES AUX OBLIGATIONS </w:t>
      </w:r>
      <w:r w:rsidR="00141D80">
        <w:t>DE L’ETABLISSEMENT</w:t>
      </w:r>
      <w:bookmarkEnd w:id="1"/>
    </w:p>
    <w:p w14:paraId="24BF9746" w14:textId="098EF792" w:rsidR="00564004" w:rsidRPr="007F1B1D" w:rsidRDefault="00564004" w:rsidP="00CD4586">
      <w:pPr>
        <w:pStyle w:val="Titre3"/>
        <w:numPr>
          <w:ilvl w:val="0"/>
          <w:numId w:val="31"/>
        </w:numPr>
      </w:pPr>
      <w:bookmarkStart w:id="2" w:name="_Toc144941751"/>
      <w:r w:rsidRPr="007F1B1D">
        <w:t xml:space="preserve">Obligations réglementaires des </w:t>
      </w:r>
      <w:r w:rsidR="007F1B1D">
        <w:t>EHPAD</w:t>
      </w:r>
      <w:bookmarkEnd w:id="2"/>
    </w:p>
    <w:p w14:paraId="464EBFD4" w14:textId="03920FD3" w:rsidR="007F1B1D" w:rsidRPr="00B90505" w:rsidRDefault="007F1B1D" w:rsidP="00B90505">
      <w:pPr>
        <w:jc w:val="both"/>
      </w:pPr>
      <w:r w:rsidRPr="00B90505">
        <w:t>Les établissements d'hébergement pour personnes âgées dépendantes (EHPAD) mentionnés au I et au II de l'article </w:t>
      </w:r>
      <w:hyperlink r:id="rId8" w:history="1">
        <w:r w:rsidRPr="00B90505">
          <w:t>L. 313-12 </w:t>
        </w:r>
      </w:hyperlink>
      <w:r w:rsidRPr="00B90505">
        <w:t>:</w:t>
      </w:r>
    </w:p>
    <w:p w14:paraId="6F2FB2A9" w14:textId="13E5FECC" w:rsidR="00F436B6" w:rsidRDefault="007F1B1D" w:rsidP="00F436B6">
      <w:pPr>
        <w:pStyle w:val="Paragraphedeliste"/>
        <w:numPr>
          <w:ilvl w:val="0"/>
          <w:numId w:val="36"/>
        </w:numPr>
        <w:spacing w:after="240"/>
        <w:ind w:left="284" w:hanging="284"/>
        <w:jc w:val="both"/>
      </w:pPr>
      <w:r w:rsidRPr="00B90505">
        <w:t>Hébergent à temps complet ou partiel, à titre permanent ou temporaire, des personnes âgées dans les conditions fixées à l'article </w:t>
      </w:r>
      <w:hyperlink r:id="rId9" w:history="1">
        <w:r w:rsidRPr="00B90505">
          <w:t>D. 313-15 </w:t>
        </w:r>
      </w:hyperlink>
      <w:r w:rsidRPr="00B90505">
        <w:t>et fournissent à chaque résident, a minima, le socle de prestations d'hébergement prévu aux articles </w:t>
      </w:r>
      <w:hyperlink r:id="rId10" w:history="1">
        <w:r w:rsidRPr="00B90505">
          <w:t>D. 312-159-2 </w:t>
        </w:r>
      </w:hyperlink>
      <w:r w:rsidRPr="00B90505">
        <w:t>et </w:t>
      </w:r>
      <w:hyperlink r:id="rId11" w:history="1">
        <w:r w:rsidRPr="00B90505">
          <w:t>D. 342-3 </w:t>
        </w:r>
      </w:hyperlink>
      <w:r w:rsidRPr="00B90505">
        <w:t>;</w:t>
      </w:r>
    </w:p>
    <w:p w14:paraId="796CA642" w14:textId="77777777" w:rsidR="00F436B6" w:rsidRDefault="00F436B6" w:rsidP="00F436B6">
      <w:pPr>
        <w:pStyle w:val="Paragraphedeliste"/>
        <w:spacing w:after="240"/>
        <w:ind w:left="284"/>
        <w:jc w:val="both"/>
      </w:pPr>
    </w:p>
    <w:p w14:paraId="7CDA30DC" w14:textId="7CE55150" w:rsidR="00F436B6" w:rsidRDefault="007F1B1D" w:rsidP="00F436B6">
      <w:pPr>
        <w:pStyle w:val="Paragraphedeliste"/>
        <w:numPr>
          <w:ilvl w:val="0"/>
          <w:numId w:val="36"/>
        </w:numPr>
        <w:spacing w:after="240"/>
        <w:ind w:left="284" w:hanging="284"/>
        <w:jc w:val="both"/>
      </w:pPr>
      <w:r w:rsidRPr="00B90505">
        <w:t>Proposent et dispensent des soins médicaux et paramédicaux adaptés, des actions de prévention et d'éducation à la santé et apportent une aide à la vie quotidienne adaptée ;</w:t>
      </w:r>
    </w:p>
    <w:p w14:paraId="2FB639F5" w14:textId="77777777" w:rsidR="00F436B6" w:rsidRDefault="00F436B6" w:rsidP="00F436B6">
      <w:pPr>
        <w:pStyle w:val="Paragraphedeliste"/>
        <w:spacing w:after="240"/>
        <w:ind w:left="284"/>
        <w:jc w:val="both"/>
      </w:pPr>
    </w:p>
    <w:p w14:paraId="4293774C" w14:textId="1A1FC770" w:rsidR="00F436B6" w:rsidRDefault="007F1B1D" w:rsidP="00F436B6">
      <w:pPr>
        <w:pStyle w:val="Paragraphedeliste"/>
        <w:numPr>
          <w:ilvl w:val="0"/>
          <w:numId w:val="36"/>
        </w:numPr>
        <w:spacing w:after="240"/>
        <w:ind w:left="284" w:hanging="284"/>
        <w:jc w:val="both"/>
      </w:pPr>
      <w:r w:rsidRPr="00B90505">
        <w:t>Mettent en place avec la personne accueillie et le cas échéant avec sa personne de confiance un projet d'accompagnement personnalisé adaptés aux besoins comprenant un projet de soins et un projet de vie visant à favoriser l'exercice des droits des personnes accueillies ;</w:t>
      </w:r>
    </w:p>
    <w:p w14:paraId="43197467" w14:textId="77777777" w:rsidR="00F436B6" w:rsidRDefault="00F436B6" w:rsidP="00F436B6">
      <w:pPr>
        <w:pStyle w:val="Paragraphedeliste"/>
        <w:spacing w:after="240"/>
        <w:ind w:left="284"/>
        <w:jc w:val="both"/>
      </w:pPr>
    </w:p>
    <w:p w14:paraId="59F69F2B" w14:textId="144AAC0C" w:rsidR="00F436B6" w:rsidRDefault="007F1B1D" w:rsidP="00F436B6">
      <w:pPr>
        <w:pStyle w:val="Paragraphedeliste"/>
        <w:numPr>
          <w:ilvl w:val="0"/>
          <w:numId w:val="36"/>
        </w:numPr>
        <w:spacing w:after="240"/>
        <w:ind w:left="284" w:hanging="284"/>
        <w:jc w:val="both"/>
      </w:pPr>
      <w:r w:rsidRPr="00B90505">
        <w:t>Lorsqu'ils proposent des modalités d'accueil particulières telles que prévues au 1° de l'article </w:t>
      </w:r>
      <w:hyperlink r:id="rId12" w:history="1">
        <w:r w:rsidRPr="00B90505">
          <w:t>L. 314-2</w:t>
        </w:r>
      </w:hyperlink>
      <w:r w:rsidRPr="00B90505">
        <w:t>, ils respectent les conditions prévues aux articles </w:t>
      </w:r>
      <w:hyperlink r:id="rId13" w:history="1">
        <w:r w:rsidRPr="00B90505">
          <w:t>D. 312-8, D. 312-9</w:t>
        </w:r>
      </w:hyperlink>
      <w:r w:rsidRPr="00B90505">
        <w:t>, </w:t>
      </w:r>
      <w:hyperlink r:id="rId14" w:history="1">
        <w:r w:rsidRPr="00B90505">
          <w:t>D. 312-155-0-1 et D. 312-155-0-2</w:t>
        </w:r>
      </w:hyperlink>
      <w:r w:rsidRPr="00B90505">
        <w:t> ;</w:t>
      </w:r>
    </w:p>
    <w:p w14:paraId="0FB707D4" w14:textId="77777777" w:rsidR="00F436B6" w:rsidRDefault="00F436B6" w:rsidP="00F436B6">
      <w:pPr>
        <w:pStyle w:val="Paragraphedeliste"/>
        <w:spacing w:after="240"/>
        <w:ind w:left="284"/>
        <w:jc w:val="both"/>
      </w:pPr>
    </w:p>
    <w:p w14:paraId="1C95C672" w14:textId="046D6FD0" w:rsidR="00F436B6" w:rsidRDefault="007F1B1D" w:rsidP="00F436B6">
      <w:pPr>
        <w:pStyle w:val="Paragraphedeliste"/>
        <w:numPr>
          <w:ilvl w:val="0"/>
          <w:numId w:val="36"/>
        </w:numPr>
        <w:spacing w:after="240"/>
        <w:ind w:left="284" w:hanging="284"/>
        <w:jc w:val="both"/>
      </w:pPr>
      <w:r w:rsidRPr="00B90505">
        <w:t>Inscrivent leur action au sein de la coordination gériatrique locale, en relation notamment avec les dispositifs d'appui à la coordination mentionnés aux articles L. 6327-2 et L. 6327-3 du code de la santé publique, les centres locaux d'information et de coordination gérontologique mentionnés à l'article </w:t>
      </w:r>
      <w:hyperlink r:id="rId15" w:history="1">
        <w:r w:rsidRPr="00B90505">
          <w:t>L. 312-1</w:t>
        </w:r>
      </w:hyperlink>
      <w:r w:rsidRPr="00B90505">
        <w:t xml:space="preserve">. Ils concluent des conventions avec un ou plusieurs établissements de santé du territoire, dont, le cas échéant, au moins un hôpital de proximité, afin de bénéficier d'interventions de structures d'hospitalisation </w:t>
      </w:r>
      <w:r w:rsidRPr="00B90505">
        <w:lastRenderedPageBreak/>
        <w:t>à domicile, d'équipes mobiles ou d'autres appuis utiles à leurs missions et permettant d'assurer la continuité des soins et d'organiser l'hospitalisation de leurs résidents lorsqu'elle est nécessaire ;</w:t>
      </w:r>
    </w:p>
    <w:p w14:paraId="75673AE0" w14:textId="77777777" w:rsidR="00F436B6" w:rsidRDefault="00F436B6" w:rsidP="00F436B6">
      <w:pPr>
        <w:pStyle w:val="Paragraphedeliste"/>
        <w:spacing w:after="240"/>
        <w:ind w:left="284"/>
        <w:jc w:val="both"/>
      </w:pPr>
    </w:p>
    <w:p w14:paraId="01CAFB79" w14:textId="1846D7CC" w:rsidR="007F1B1D" w:rsidRPr="00B90505" w:rsidRDefault="007F1B1D" w:rsidP="00F436B6">
      <w:pPr>
        <w:pStyle w:val="Paragraphedeliste"/>
        <w:numPr>
          <w:ilvl w:val="0"/>
          <w:numId w:val="36"/>
        </w:numPr>
        <w:spacing w:after="240"/>
        <w:ind w:left="284" w:hanging="284"/>
        <w:jc w:val="both"/>
      </w:pPr>
      <w:r w:rsidRPr="00B90505">
        <w:t>Lorsque l'établissement d'hébergement pour personnes âgées dépendantes assure la mission de centre de ressources territorial mentionnée à l'article L. 313-12-3, il respecte un cahier des charges fixé par arrêté du ministre chargé des personnes âgées.</w:t>
      </w:r>
      <w:r w:rsidR="00CD4586">
        <w:t xml:space="preserve"> </w:t>
      </w:r>
      <w:r w:rsidRPr="00B90505">
        <w:t>Pour assurer leurs missions, outre son directeur et le personnel administratif, l'établissement d'hébergement pour personnes âgées dépendantes dispose d'une équipe pluridisciplinaire comprenant au moins un médecin coordonnateur dans les conditions prévues aux articles </w:t>
      </w:r>
      <w:hyperlink r:id="rId16" w:history="1">
        <w:r w:rsidRPr="00B90505">
          <w:t>D. 312-156 à D. 312-159-1</w:t>
        </w:r>
      </w:hyperlink>
      <w:r w:rsidRPr="00B90505">
        <w:t xml:space="preserve">, un professionnel infirmier titulaire du diplôme d'Etat, des aides-soignants, des aides médico-psychologiques, des accompagnants éducatifs et sociaux et des personnels psycho-éducatifs. Pour assurer et sécuriser le circuit </w:t>
      </w:r>
      <w:r w:rsidR="00912B3D" w:rsidRPr="00B90505">
        <w:t xml:space="preserve">et la </w:t>
      </w:r>
      <w:r w:rsidRPr="00B90505">
        <w:t>prise en charge médicamenteuse, l’établissement travaille en étroite collaboration avec une équipe pharmaceutique, les engagements de chacun étant définis ci-dessous.</w:t>
      </w:r>
    </w:p>
    <w:p w14:paraId="51F3E21F" w14:textId="77777777" w:rsidR="007F1B1D" w:rsidRPr="00CD4586" w:rsidRDefault="007F1B1D" w:rsidP="00CD4586">
      <w:pPr>
        <w:pStyle w:val="Paragraphedeliste"/>
        <w:spacing w:line="276" w:lineRule="auto"/>
        <w:jc w:val="both"/>
        <w:rPr>
          <w:rStyle w:val="Titre3Car"/>
        </w:rPr>
      </w:pPr>
    </w:p>
    <w:p w14:paraId="6F27AED1" w14:textId="0B07C3E6" w:rsidR="00E0171C" w:rsidRPr="00CD4586" w:rsidRDefault="007F1B1D" w:rsidP="00CD4586">
      <w:pPr>
        <w:pStyle w:val="Paragraphedeliste"/>
        <w:numPr>
          <w:ilvl w:val="0"/>
          <w:numId w:val="31"/>
        </w:numPr>
        <w:spacing w:line="276" w:lineRule="auto"/>
        <w:jc w:val="both"/>
        <w:rPr>
          <w:rStyle w:val="Titre3Car"/>
        </w:rPr>
      </w:pPr>
      <w:bookmarkStart w:id="3" w:name="_Toc144941752"/>
      <w:r>
        <w:rPr>
          <w:rStyle w:val="Titre3Car"/>
        </w:rPr>
        <w:t>Engagements de l’établissement</w:t>
      </w:r>
      <w:r w:rsidR="00564004" w:rsidRPr="007F1B1D">
        <w:rPr>
          <w:rStyle w:val="Titre3Car"/>
        </w:rPr>
        <w:t xml:space="preserve"> vis-à-vis </w:t>
      </w:r>
      <w:r w:rsidR="00F26AEA">
        <w:rPr>
          <w:rStyle w:val="Titre3Car"/>
        </w:rPr>
        <w:t>de l</w:t>
      </w:r>
      <w:r w:rsidR="00564004" w:rsidRPr="007F1B1D">
        <w:rPr>
          <w:rStyle w:val="Titre3Car"/>
        </w:rPr>
        <w:t>’officine</w:t>
      </w:r>
      <w:bookmarkEnd w:id="3"/>
      <w:r w:rsidRPr="00CD4586">
        <w:rPr>
          <w:rStyle w:val="Titre3Car"/>
        </w:rPr>
        <w:t xml:space="preserve"> </w:t>
      </w:r>
    </w:p>
    <w:p w14:paraId="51249734" w14:textId="375D5CA6" w:rsidR="003B3AC5" w:rsidRDefault="00F77AD6" w:rsidP="00F3461D">
      <w:pPr>
        <w:pStyle w:val="Paragraphedeliste"/>
        <w:numPr>
          <w:ilvl w:val="0"/>
          <w:numId w:val="38"/>
        </w:numPr>
        <w:spacing w:after="240"/>
        <w:ind w:left="284" w:hanging="426"/>
        <w:jc w:val="both"/>
      </w:pPr>
      <w:r w:rsidRPr="00B90505">
        <w:t xml:space="preserve">L'établissement s’engage à informer le </w:t>
      </w:r>
      <w:r w:rsidR="00141D80" w:rsidRPr="00B90505">
        <w:t>résident</w:t>
      </w:r>
      <w:r w:rsidRPr="00B90505">
        <w:t xml:space="preserve"> sur l'organisation </w:t>
      </w:r>
      <w:r w:rsidR="00AC777F">
        <w:t xml:space="preserve">et la sécurisation </w:t>
      </w:r>
      <w:r w:rsidRPr="00B90505">
        <w:t>du circuit du médicament mise e</w:t>
      </w:r>
      <w:r w:rsidR="00912B3D" w:rsidRPr="00B90505">
        <w:t xml:space="preserve">n place dans son établissement et </w:t>
      </w:r>
      <w:r w:rsidRPr="00B90505">
        <w:t>la liste des off</w:t>
      </w:r>
      <w:r w:rsidR="00912B3D" w:rsidRPr="00B90505">
        <w:t xml:space="preserve">icines intervenant en son sein. </w:t>
      </w:r>
      <w:r w:rsidR="00CC6BD2" w:rsidRPr="00B90505">
        <w:t xml:space="preserve">L'établissement remet une lettre d'information au résident ou à ses proches rappelant les principes de cette prestation, et recueille le </w:t>
      </w:r>
      <w:r w:rsidR="0009299C">
        <w:t>choix du résident</w:t>
      </w:r>
      <w:r w:rsidR="00F81E10">
        <w:t>.</w:t>
      </w:r>
      <w:r w:rsidR="0009299C">
        <w:t xml:space="preserve"> En cas d’accord du résident, sa pharmacie habituelle sera informée. </w:t>
      </w:r>
    </w:p>
    <w:p w14:paraId="1210EC3C" w14:textId="77777777" w:rsidR="00F81E10" w:rsidRDefault="00F81E10" w:rsidP="00F81E10">
      <w:pPr>
        <w:pStyle w:val="Paragraphedeliste"/>
        <w:spacing w:after="240"/>
        <w:ind w:left="284"/>
        <w:jc w:val="both"/>
      </w:pPr>
    </w:p>
    <w:p w14:paraId="74CD5DEF" w14:textId="73E3ABA2" w:rsidR="00F81E10" w:rsidRDefault="00F77AD6" w:rsidP="00D60C63">
      <w:pPr>
        <w:pStyle w:val="Paragraphedeliste"/>
        <w:numPr>
          <w:ilvl w:val="0"/>
          <w:numId w:val="38"/>
        </w:numPr>
        <w:spacing w:after="240"/>
        <w:ind w:left="284" w:hanging="426"/>
        <w:jc w:val="both"/>
      </w:pPr>
      <w:r w:rsidRPr="00B90505">
        <w:t xml:space="preserve">Toutes les transmissions d’informations, quelle qu’en soit leur nature, entre l’établissement et la pharmacie d’officine doivent être réalisées </w:t>
      </w:r>
      <w:r w:rsidR="00EB5443">
        <w:t xml:space="preserve">soit </w:t>
      </w:r>
      <w:r w:rsidR="00EB5443" w:rsidRPr="00B90505">
        <w:t>directement par les système d’informations (LAP</w:t>
      </w:r>
      <w:r w:rsidR="00EB5443">
        <w:t xml:space="preserve">, dossier médical partagé (DMP)), soit </w:t>
      </w:r>
      <w:r w:rsidRPr="00B90505">
        <w:t xml:space="preserve">par le biais d’un support écrit (par fax, par courriel sécurisé ou par voie </w:t>
      </w:r>
      <w:r w:rsidR="000E59A4" w:rsidRPr="00B90505">
        <w:t>postale) au</w:t>
      </w:r>
      <w:r w:rsidRPr="00B90505">
        <w:t xml:space="preserve"> regard des obligations de traçabilité et de sécurité pour la prise en charge.</w:t>
      </w:r>
    </w:p>
    <w:p w14:paraId="66EB8800" w14:textId="77777777" w:rsidR="00F81E10" w:rsidRDefault="00F81E10" w:rsidP="00F81E10">
      <w:pPr>
        <w:pStyle w:val="Paragraphedeliste"/>
        <w:spacing w:after="240"/>
        <w:ind w:left="284"/>
        <w:jc w:val="both"/>
      </w:pPr>
    </w:p>
    <w:p w14:paraId="5662A553" w14:textId="210E52EF" w:rsidR="003B3AC5" w:rsidRDefault="00F77AD6" w:rsidP="00F3461D">
      <w:pPr>
        <w:pStyle w:val="Paragraphedeliste"/>
        <w:numPr>
          <w:ilvl w:val="0"/>
          <w:numId w:val="38"/>
        </w:numPr>
        <w:spacing w:after="240"/>
        <w:ind w:left="284" w:hanging="426"/>
        <w:jc w:val="both"/>
      </w:pPr>
      <w:r w:rsidRPr="00B90505">
        <w:t>L’établissement s’engage à informer la pharmacie d’officine de la prise en charge du résident en transmettant par mail sécurisé (par défaut par fax) la fiche d’information détaillée comportant notamment l'identité du résident, ses coordonnées, les coordonnées du médecin traitant et la date d’entrée dans l’établissement</w:t>
      </w:r>
      <w:r w:rsidR="000E59A4" w:rsidRPr="00B90505">
        <w:t xml:space="preserve">. </w:t>
      </w:r>
    </w:p>
    <w:p w14:paraId="3D906381" w14:textId="77777777" w:rsidR="00F81E10" w:rsidRDefault="00F81E10" w:rsidP="00F81E10">
      <w:pPr>
        <w:pStyle w:val="Paragraphedeliste"/>
        <w:spacing w:after="240"/>
        <w:ind w:left="284"/>
        <w:jc w:val="both"/>
      </w:pPr>
    </w:p>
    <w:p w14:paraId="7A1A8A4D" w14:textId="2D686DA1" w:rsidR="003B3AC5" w:rsidRDefault="00D60C63" w:rsidP="00F3461D">
      <w:pPr>
        <w:pStyle w:val="Paragraphedeliste"/>
        <w:numPr>
          <w:ilvl w:val="0"/>
          <w:numId w:val="38"/>
        </w:numPr>
        <w:spacing w:after="240"/>
        <w:ind w:left="284" w:hanging="426"/>
        <w:jc w:val="both"/>
      </w:pPr>
      <w:r>
        <w:t>L’établissement s’engage à faciliter les échanges entre le médecin référent de la structure, le personnel soignant et le pharmacien par la mise à disposition d’un outil de liaison</w:t>
      </w:r>
      <w:r w:rsidRPr="00F436B6">
        <w:t xml:space="preserve"> </w:t>
      </w:r>
      <w:r>
        <w:t>recueillant de façon pérenne et formalisée toutes les informations jugées pertinentes pour sécuriser la prise en charge médicamenteuse.</w:t>
      </w:r>
      <w:r w:rsidRPr="00D60C63">
        <w:t xml:space="preserve"> </w:t>
      </w:r>
      <w:r w:rsidR="000E59A4" w:rsidRPr="00B90505">
        <w:t>L’</w:t>
      </w:r>
      <w:r w:rsidR="00CD4586">
        <w:t>établissement</w:t>
      </w:r>
      <w:r w:rsidR="00E0171C" w:rsidRPr="00B90505">
        <w:t xml:space="preserve"> s'engage à remettre au pharmacien d’officine</w:t>
      </w:r>
      <w:r w:rsidR="000E59A4" w:rsidRPr="00B90505">
        <w:t xml:space="preserve"> </w:t>
      </w:r>
      <w:r w:rsidR="00E0171C" w:rsidRPr="00B90505">
        <w:t xml:space="preserve">les données nécessaires à la bonne dispensation des médicaments (historique médicamenteux, données </w:t>
      </w:r>
      <w:r w:rsidR="000E59A4" w:rsidRPr="00B90505">
        <w:t xml:space="preserve">cliniques, </w:t>
      </w:r>
      <w:r w:rsidR="00E0171C" w:rsidRPr="00B90505">
        <w:t>biologiques, hypersensibilité</w:t>
      </w:r>
      <w:r w:rsidR="0078504E">
        <w:t>s, niveaux de dépendance, profil</w:t>
      </w:r>
      <w:r w:rsidR="00E0171C" w:rsidRPr="00B90505">
        <w:t xml:space="preserve"> de soins,</w:t>
      </w:r>
      <w:r w:rsidR="00675909">
        <w:t xml:space="preserve"> traçabilité de prise/refus de prise</w:t>
      </w:r>
      <w:r w:rsidR="00E0171C" w:rsidRPr="00B90505">
        <w:t xml:space="preserve"> etc.). </w:t>
      </w:r>
    </w:p>
    <w:p w14:paraId="408945F8" w14:textId="3F61ABF3" w:rsidR="00F81E10" w:rsidRDefault="00E0171C" w:rsidP="00F81E10">
      <w:pPr>
        <w:pStyle w:val="Paragraphedeliste"/>
        <w:spacing w:after="240"/>
        <w:ind w:left="284"/>
        <w:jc w:val="both"/>
      </w:pPr>
      <w:r w:rsidRPr="00B90505">
        <w:t xml:space="preserve">Si le résident ne dispose pas </w:t>
      </w:r>
      <w:r w:rsidR="000E59A4" w:rsidRPr="00B90505">
        <w:t>d’un DMP</w:t>
      </w:r>
      <w:r w:rsidRPr="00B90505">
        <w:t xml:space="preserve">, le </w:t>
      </w:r>
      <w:r w:rsidR="000E59A4" w:rsidRPr="00B90505">
        <w:t>médecin proposera de l’ouvrir à son entrée à l</w:t>
      </w:r>
      <w:r w:rsidR="000D1815">
        <w:t xml:space="preserve">’EHPAD. </w:t>
      </w:r>
    </w:p>
    <w:p w14:paraId="60640804" w14:textId="3DE44207" w:rsidR="00F436B6" w:rsidRDefault="000D1815" w:rsidP="00F81E10">
      <w:pPr>
        <w:pStyle w:val="Paragraphedeliste"/>
        <w:spacing w:after="240"/>
        <w:ind w:left="284"/>
        <w:jc w:val="both"/>
      </w:pPr>
      <w:r>
        <w:t xml:space="preserve">S’il ne dispose pas </w:t>
      </w:r>
      <w:r w:rsidRPr="00B90505">
        <w:t xml:space="preserve">d’un dossier pharmaceutique (DP) </w:t>
      </w:r>
      <w:r>
        <w:t>le</w:t>
      </w:r>
      <w:r w:rsidR="000E59A4" w:rsidRPr="00B90505">
        <w:t xml:space="preserve"> </w:t>
      </w:r>
      <w:r w:rsidR="00E0171C" w:rsidRPr="00B90505">
        <w:t>pharmacien dispensateur le lui propose dans les conditions fixées par la loi.</w:t>
      </w:r>
      <w:r w:rsidR="00F436B6" w:rsidRPr="00EB5443">
        <w:t xml:space="preserve"> </w:t>
      </w:r>
    </w:p>
    <w:p w14:paraId="78C5D55D" w14:textId="77777777" w:rsidR="00F81E10" w:rsidRPr="00F436B6" w:rsidRDefault="00F81E10" w:rsidP="00F81E10">
      <w:pPr>
        <w:pStyle w:val="Paragraphedeliste"/>
        <w:spacing w:after="240"/>
        <w:ind w:left="284"/>
        <w:jc w:val="both"/>
      </w:pPr>
    </w:p>
    <w:p w14:paraId="370E6277" w14:textId="492DD8C4" w:rsidR="00F81E10" w:rsidRDefault="00F436B6" w:rsidP="00D60C63">
      <w:pPr>
        <w:pStyle w:val="Paragraphedeliste"/>
        <w:numPr>
          <w:ilvl w:val="0"/>
          <w:numId w:val="38"/>
        </w:numPr>
        <w:spacing w:after="240"/>
        <w:ind w:left="284" w:hanging="426"/>
        <w:jc w:val="both"/>
      </w:pPr>
      <w:r w:rsidRPr="00F436B6">
        <w:t xml:space="preserve">L’établissement s’engage à transmettre les prescriptions </w:t>
      </w:r>
      <w:r w:rsidR="005A1F06">
        <w:t xml:space="preserve">médicales </w:t>
      </w:r>
      <w:r w:rsidRPr="00F436B6">
        <w:t>nominatives originales au pharmacien</w:t>
      </w:r>
      <w:r>
        <w:t xml:space="preserve">, selon un mode de transmission garantissant la confidentialité </w:t>
      </w:r>
      <w:r w:rsidR="005A1F06">
        <w:t xml:space="preserve">et la sécurité </w:t>
      </w:r>
      <w:r>
        <w:t xml:space="preserve">des données de l’usager (messagerie </w:t>
      </w:r>
      <w:r w:rsidR="005A1F06">
        <w:t xml:space="preserve">de santé </w:t>
      </w:r>
      <w:r>
        <w:t xml:space="preserve">sécurisée, dépôt de l’ordonnance originale, système d’information </w:t>
      </w:r>
      <w:r w:rsidR="00000D17">
        <w:t>interopérable</w:t>
      </w:r>
      <w:r>
        <w:t>…) dans le respect des devoirs et obligations déontologiques qui incombent tant aux médecins qu’aux pharmaciens.</w:t>
      </w:r>
      <w:r w:rsidR="00FA095D" w:rsidRPr="00FA095D">
        <w:t xml:space="preserve"> </w:t>
      </w:r>
      <w:r w:rsidR="00FA095D">
        <w:t>L’établissement dispose dans la mesure du possible d’un logiciel d’aide à prescription interfacé avec le logiciel d’aide à la dispensation de l’officine.</w:t>
      </w:r>
    </w:p>
    <w:p w14:paraId="274BDD8C" w14:textId="77777777" w:rsidR="00F81E10" w:rsidRDefault="00F81E10" w:rsidP="00F81E10">
      <w:pPr>
        <w:pStyle w:val="Paragraphedeliste"/>
        <w:spacing w:after="240"/>
        <w:ind w:left="284"/>
        <w:jc w:val="both"/>
      </w:pPr>
    </w:p>
    <w:p w14:paraId="711E5DCA" w14:textId="542F280D" w:rsidR="00F436B6" w:rsidRDefault="00F436B6" w:rsidP="00F3461D">
      <w:pPr>
        <w:pStyle w:val="Paragraphedeliste"/>
        <w:numPr>
          <w:ilvl w:val="0"/>
          <w:numId w:val="38"/>
        </w:numPr>
        <w:spacing w:after="240"/>
        <w:ind w:left="284" w:hanging="426"/>
        <w:jc w:val="both"/>
      </w:pPr>
      <w:r>
        <w:lastRenderedPageBreak/>
        <w:t xml:space="preserve">Si plusieurs prescriptions </w:t>
      </w:r>
      <w:r w:rsidR="005A1F06">
        <w:t xml:space="preserve">médicales </w:t>
      </w:r>
      <w:r>
        <w:t xml:space="preserve">ont été réalisées par des médecins de spécialités différentes pour un même usager, il convient de centraliser ces dernières via un système d’information (et ses interfaces) partagé et/ou par l’intermédiaire du médecin </w:t>
      </w:r>
      <w:r w:rsidR="0078504E">
        <w:t>coordonnateur</w:t>
      </w:r>
      <w:r>
        <w:t xml:space="preserve"> de la structure</w:t>
      </w:r>
      <w:r w:rsidR="005A1F06">
        <w:t xml:space="preserve"> afin que le pharmacien dispose d’une vision exhaustive des prescriptions.  </w:t>
      </w:r>
      <w:r>
        <w:t xml:space="preserve"> </w:t>
      </w:r>
    </w:p>
    <w:p w14:paraId="4AD8E372" w14:textId="77777777" w:rsidR="00F81E10" w:rsidRDefault="00F81E10" w:rsidP="00F81E10">
      <w:pPr>
        <w:pStyle w:val="Paragraphedeliste"/>
        <w:spacing w:after="240"/>
        <w:ind w:left="284"/>
        <w:jc w:val="both"/>
      </w:pPr>
    </w:p>
    <w:p w14:paraId="414BA517" w14:textId="114C8E6C" w:rsidR="00082478" w:rsidRDefault="00F77AD6" w:rsidP="00082478">
      <w:pPr>
        <w:pStyle w:val="Paragraphedeliste"/>
        <w:numPr>
          <w:ilvl w:val="0"/>
          <w:numId w:val="38"/>
        </w:numPr>
        <w:spacing w:after="240"/>
        <w:ind w:left="284" w:hanging="426"/>
        <w:jc w:val="both"/>
      </w:pPr>
      <w:r w:rsidRPr="00B90505">
        <w:t xml:space="preserve">L’établissement informe également systématiquement par mail sécurisé (ou par défaut par fax) la pharmacie d’officine de la date de sortie des </w:t>
      </w:r>
      <w:r w:rsidR="00141D80" w:rsidRPr="00B90505">
        <w:t>résident</w:t>
      </w:r>
      <w:r w:rsidRPr="00B90505">
        <w:t xml:space="preserve">s </w:t>
      </w:r>
      <w:r w:rsidR="0078504E">
        <w:t>ou d’une hospitalisation,</w:t>
      </w:r>
      <w:r w:rsidR="0078504E" w:rsidRPr="00B90505">
        <w:t xml:space="preserve"> </w:t>
      </w:r>
      <w:r w:rsidRPr="00B90505">
        <w:t>dans les meilleurs délais et, quand cela est possible, 24 heures à l’avance.</w:t>
      </w:r>
    </w:p>
    <w:p w14:paraId="0E094AAF" w14:textId="77777777" w:rsidR="00082478" w:rsidRDefault="00082478" w:rsidP="00082478">
      <w:pPr>
        <w:pStyle w:val="Paragraphedeliste"/>
      </w:pPr>
    </w:p>
    <w:p w14:paraId="151428D4" w14:textId="6527C208" w:rsidR="00D60C63" w:rsidRDefault="00F436B6" w:rsidP="00082478">
      <w:pPr>
        <w:pStyle w:val="Paragraphedeliste"/>
        <w:numPr>
          <w:ilvl w:val="0"/>
          <w:numId w:val="38"/>
        </w:numPr>
        <w:spacing w:after="240"/>
        <w:ind w:left="284" w:hanging="426"/>
        <w:jc w:val="both"/>
      </w:pPr>
      <w:r>
        <w:t>L’établissement s’engage à préciser les modalités de transmission des informations, le format de l’outil retenu et les références du système d’information.</w:t>
      </w:r>
    </w:p>
    <w:p w14:paraId="31E0B889" w14:textId="77777777" w:rsidR="00D60C63" w:rsidRDefault="00D60C63" w:rsidP="00D60C63">
      <w:pPr>
        <w:pStyle w:val="Paragraphedeliste"/>
        <w:spacing w:after="240"/>
        <w:ind w:left="284"/>
        <w:jc w:val="both"/>
      </w:pPr>
    </w:p>
    <w:p w14:paraId="2CE222E8" w14:textId="45CDFEA4" w:rsidR="00F436B6" w:rsidRDefault="00F436B6" w:rsidP="00F3461D">
      <w:pPr>
        <w:pStyle w:val="Paragraphedeliste"/>
        <w:numPr>
          <w:ilvl w:val="0"/>
          <w:numId w:val="38"/>
        </w:numPr>
        <w:spacing w:after="240"/>
        <w:ind w:left="284" w:hanging="426"/>
        <w:jc w:val="both"/>
      </w:pPr>
      <w:r>
        <w:t>L’établissement s’engage à assurer et garantir un circuit du médicament de qualité, en :</w:t>
      </w:r>
    </w:p>
    <w:p w14:paraId="7A61F293" w14:textId="018BF8D4" w:rsidR="00F436B6" w:rsidRPr="00EB5443" w:rsidRDefault="00F436B6" w:rsidP="00F3461D">
      <w:pPr>
        <w:pStyle w:val="Paragraphedeliste"/>
        <w:numPr>
          <w:ilvl w:val="0"/>
          <w:numId w:val="41"/>
        </w:numPr>
        <w:spacing w:after="240"/>
        <w:jc w:val="both"/>
      </w:pPr>
      <w:r w:rsidRPr="00EB5443">
        <w:t xml:space="preserve">Désignant un référent médicament au sein de la structure et </w:t>
      </w:r>
      <w:r w:rsidR="00FA095D">
        <w:t>en transmettant</w:t>
      </w:r>
      <w:r w:rsidRPr="00EB5443">
        <w:t xml:space="preserve"> sa fiche de poste, </w:t>
      </w:r>
      <w:r w:rsidR="0078504E">
        <w:t>et un suppléant en son absence</w:t>
      </w:r>
    </w:p>
    <w:p w14:paraId="67A6F6DB" w14:textId="77777777" w:rsidR="00F436B6" w:rsidRPr="00EB5443" w:rsidRDefault="00F436B6" w:rsidP="00F3461D">
      <w:pPr>
        <w:pStyle w:val="Paragraphedeliste"/>
        <w:numPr>
          <w:ilvl w:val="0"/>
          <w:numId w:val="41"/>
        </w:numPr>
        <w:spacing w:after="240"/>
        <w:jc w:val="both"/>
      </w:pPr>
      <w:r w:rsidRPr="00EB5443">
        <w:t xml:space="preserve">Mettant à disposition : </w:t>
      </w:r>
    </w:p>
    <w:p w14:paraId="7636ECC5" w14:textId="5AC06A92" w:rsidR="00F436B6" w:rsidRPr="00EB5443" w:rsidRDefault="00F436B6" w:rsidP="00F3461D">
      <w:pPr>
        <w:pStyle w:val="Paragraphedeliste"/>
        <w:numPr>
          <w:ilvl w:val="1"/>
          <w:numId w:val="41"/>
        </w:numPr>
        <w:spacing w:after="240"/>
        <w:jc w:val="both"/>
      </w:pPr>
      <w:proofErr w:type="gramStart"/>
      <w:r w:rsidRPr="00EB5443">
        <w:t>un</w:t>
      </w:r>
      <w:proofErr w:type="gramEnd"/>
      <w:r w:rsidRPr="00EB5443">
        <w:t xml:space="preserve"> local de stockage pour les médicaments et dispositifs médicaux, fermé à clé, entretenu et </w:t>
      </w:r>
      <w:r>
        <w:t>accessible aux seuls médecins, infirmiers sous la seule responsabilité de l’</w:t>
      </w:r>
      <w:r w:rsidR="00F3461D">
        <w:t>établissement</w:t>
      </w:r>
      <w:r w:rsidRPr="00EB5443">
        <w:t>;</w:t>
      </w:r>
    </w:p>
    <w:p w14:paraId="1AA3D882" w14:textId="0D086774" w:rsidR="00F436B6" w:rsidRPr="00EB5443" w:rsidRDefault="005A1F06" w:rsidP="00F3461D">
      <w:pPr>
        <w:pStyle w:val="Paragraphedeliste"/>
        <w:numPr>
          <w:ilvl w:val="1"/>
          <w:numId w:val="41"/>
        </w:numPr>
        <w:spacing w:after="240"/>
        <w:jc w:val="both"/>
      </w:pPr>
      <w:proofErr w:type="gramStart"/>
      <w:r>
        <w:t>une</w:t>
      </w:r>
      <w:proofErr w:type="gramEnd"/>
      <w:r>
        <w:t xml:space="preserve"> enceinte réfrigérée de qualité pharmaceutique exclusivement </w:t>
      </w:r>
      <w:r w:rsidR="00FA095D">
        <w:t>dédié aux médicaments</w:t>
      </w:r>
      <w:r>
        <w:t xml:space="preserve"> thermosensibles</w:t>
      </w:r>
      <w:r w:rsidR="00FA095D">
        <w:t>, nettoyé/entretenu de façon régulière, et disposant d’un</w:t>
      </w:r>
      <w:r>
        <w:t xml:space="preserve"> système de suivi et d’enregistrement </w:t>
      </w:r>
      <w:r w:rsidR="000033B8">
        <w:t>des températures ainsi qu’une procédure de gestion des excursions de températures</w:t>
      </w:r>
    </w:p>
    <w:p w14:paraId="060617B4" w14:textId="45452CD8" w:rsidR="00F436B6" w:rsidRDefault="00F436B6" w:rsidP="00F3461D">
      <w:pPr>
        <w:pStyle w:val="Paragraphedeliste"/>
        <w:numPr>
          <w:ilvl w:val="0"/>
          <w:numId w:val="41"/>
        </w:numPr>
        <w:spacing w:after="240"/>
        <w:jc w:val="both"/>
      </w:pPr>
      <w:r w:rsidRPr="00EB5443">
        <w:t>Mettant à disposition du pharmacien les données biométriques, cliniques, biologique</w:t>
      </w:r>
      <w:r>
        <w:t>s, les allergies</w:t>
      </w:r>
      <w:r w:rsidR="00F3461D">
        <w:t xml:space="preserve"> </w:t>
      </w:r>
      <w:r>
        <w:t>(médicamenteuses, alimentaires), l’historique des ordonnances, l’identification des résidents présentant des troubles de la déglutition et toutes autres informations utiles à l’analyse pharmaceutique des ordonnances.</w:t>
      </w:r>
    </w:p>
    <w:p w14:paraId="09D6349C" w14:textId="77777777" w:rsidR="00F81E10" w:rsidRDefault="00F81E10" w:rsidP="00F81E10">
      <w:pPr>
        <w:pStyle w:val="Paragraphedeliste"/>
        <w:spacing w:after="240"/>
        <w:jc w:val="both"/>
      </w:pPr>
    </w:p>
    <w:p w14:paraId="3233A9D7" w14:textId="77777777" w:rsidR="00955849" w:rsidRDefault="00F77AD6" w:rsidP="00955849">
      <w:pPr>
        <w:pStyle w:val="Paragraphedeliste"/>
        <w:numPr>
          <w:ilvl w:val="0"/>
          <w:numId w:val="38"/>
        </w:numPr>
        <w:spacing w:after="240"/>
        <w:ind w:left="284" w:hanging="426"/>
        <w:jc w:val="both"/>
      </w:pPr>
      <w:r w:rsidRPr="00B90505">
        <w:t xml:space="preserve">L’établissement s'engage à communiquer, dans les plus brefs délais, à la pharmacie d’officine, toute </w:t>
      </w:r>
      <w:r w:rsidRPr="00C759EF">
        <w:t>modification de prescription afin que ce dernier puisse dispenser les nouveaux médicaments prescrits.</w:t>
      </w:r>
    </w:p>
    <w:p w14:paraId="58D68633" w14:textId="77777777" w:rsidR="00955849" w:rsidRDefault="00955849" w:rsidP="00955849">
      <w:pPr>
        <w:pStyle w:val="Paragraphedeliste"/>
        <w:spacing w:after="240"/>
        <w:ind w:left="284"/>
        <w:jc w:val="both"/>
      </w:pPr>
    </w:p>
    <w:p w14:paraId="6BEE7F07" w14:textId="4249801B" w:rsidR="00082478" w:rsidRDefault="00C759EF" w:rsidP="00955849">
      <w:pPr>
        <w:pStyle w:val="Paragraphedeliste"/>
        <w:numPr>
          <w:ilvl w:val="0"/>
          <w:numId w:val="38"/>
        </w:numPr>
        <w:spacing w:after="240"/>
        <w:ind w:left="284" w:hanging="426"/>
        <w:jc w:val="both"/>
      </w:pPr>
      <w:r w:rsidRPr="00C759EF">
        <w:t>L'établissement s'engage à intégrer le pharmacien d'officine dans son c</w:t>
      </w:r>
      <w:r w:rsidR="00955849" w:rsidRPr="00955849">
        <w:t>omité PECM ou volet PECM de la Commission de coordination gériatrique</w:t>
      </w:r>
      <w:r w:rsidRPr="00C759EF">
        <w:t>.</w:t>
      </w:r>
      <w:r w:rsidR="00955849">
        <w:t xml:space="preserve"> </w:t>
      </w:r>
    </w:p>
    <w:p w14:paraId="378C2BDA" w14:textId="77777777" w:rsidR="00082478" w:rsidRDefault="00082478" w:rsidP="00082478">
      <w:pPr>
        <w:pStyle w:val="Paragraphedeliste"/>
      </w:pPr>
    </w:p>
    <w:p w14:paraId="701488FB" w14:textId="4D051731" w:rsidR="00082478" w:rsidRDefault="00082478" w:rsidP="00082478">
      <w:pPr>
        <w:pStyle w:val="Paragraphedeliste"/>
        <w:numPr>
          <w:ilvl w:val="0"/>
          <w:numId w:val="38"/>
        </w:numPr>
        <w:spacing w:after="240"/>
        <w:ind w:left="284" w:hanging="426"/>
        <w:jc w:val="both"/>
      </w:pPr>
      <w:r>
        <w:t xml:space="preserve">L’établissement s’engage à solliciter le pharmacien référent pour élaborer en coopération avec le médecin coordonnateur et les médecins traitants la liste des médicaments à utiliser préférentiellement </w:t>
      </w:r>
    </w:p>
    <w:p w14:paraId="2C77195B" w14:textId="77777777" w:rsidR="00082478" w:rsidRDefault="00082478" w:rsidP="00082478">
      <w:pPr>
        <w:pStyle w:val="Paragraphedeliste"/>
        <w:spacing w:after="240"/>
        <w:ind w:left="284"/>
        <w:jc w:val="both"/>
      </w:pPr>
    </w:p>
    <w:p w14:paraId="76D5DA90" w14:textId="73A9E66B" w:rsidR="00F77AD6" w:rsidRPr="00B90505" w:rsidRDefault="00F77AD6" w:rsidP="00F3461D">
      <w:pPr>
        <w:pStyle w:val="Paragraphedeliste"/>
        <w:numPr>
          <w:ilvl w:val="0"/>
          <w:numId w:val="38"/>
        </w:numPr>
        <w:spacing w:after="240"/>
        <w:ind w:left="284" w:hanging="426"/>
        <w:jc w:val="both"/>
      </w:pPr>
      <w:r w:rsidRPr="00B90505">
        <w:t>L’établissement propose à la pharmacie d’officine et à leurs collaborateurs de participer aux réunions de coordination et/ou en réunion d'équipe, ayant pour objet de :</w:t>
      </w:r>
    </w:p>
    <w:p w14:paraId="6B0A4FBC" w14:textId="12637CCB" w:rsidR="00F77AD6" w:rsidRPr="00B90505" w:rsidRDefault="00F77AD6" w:rsidP="00F81E10">
      <w:pPr>
        <w:pStyle w:val="Paragraphedeliste"/>
        <w:numPr>
          <w:ilvl w:val="0"/>
          <w:numId w:val="43"/>
        </w:numPr>
        <w:spacing w:after="240"/>
        <w:jc w:val="both"/>
      </w:pPr>
      <w:r w:rsidRPr="00B90505">
        <w:t>Renforcer la connaissance mutuelle des intervenants et faciliter leurs relations professionnelles</w:t>
      </w:r>
      <w:r w:rsidR="00CC6BD2" w:rsidRPr="00B90505">
        <w:t xml:space="preserve"> </w:t>
      </w:r>
      <w:r w:rsidRPr="00B90505">
        <w:t>;</w:t>
      </w:r>
    </w:p>
    <w:p w14:paraId="3989E6C4" w14:textId="45B8EBCF" w:rsidR="00F81E10" w:rsidRPr="00B90505" w:rsidRDefault="00F77AD6" w:rsidP="00F81E10">
      <w:pPr>
        <w:pStyle w:val="Paragraphedeliste"/>
        <w:numPr>
          <w:ilvl w:val="0"/>
          <w:numId w:val="43"/>
        </w:numPr>
        <w:spacing w:after="240"/>
        <w:jc w:val="both"/>
      </w:pPr>
      <w:r w:rsidRPr="00B90505">
        <w:t xml:space="preserve">Préciser le projet thérapeutique, les actions de soins mises en </w:t>
      </w:r>
      <w:r w:rsidR="0078504E" w:rsidRPr="00B90505">
        <w:t>œuvre</w:t>
      </w:r>
      <w:r w:rsidR="00CC6BD2" w:rsidRPr="00B90505">
        <w:t xml:space="preserve">, les éventuelles difficultés </w:t>
      </w:r>
      <w:r w:rsidRPr="00B90505">
        <w:t>de prise en charge rencontrées, la nécessaire compl</w:t>
      </w:r>
      <w:r w:rsidR="00CC6BD2" w:rsidRPr="00B90505">
        <w:t xml:space="preserve">émentarité sanitaire et sociale </w:t>
      </w:r>
      <w:r w:rsidRPr="00B90505">
        <w:t>;</w:t>
      </w:r>
    </w:p>
    <w:p w14:paraId="61797E01" w14:textId="094FB301" w:rsidR="003B3AC5" w:rsidRDefault="00E0171C" w:rsidP="00F81E10">
      <w:pPr>
        <w:pStyle w:val="Paragraphedeliste"/>
        <w:numPr>
          <w:ilvl w:val="0"/>
          <w:numId w:val="43"/>
        </w:numPr>
        <w:spacing w:after="240"/>
        <w:jc w:val="both"/>
      </w:pPr>
      <w:r w:rsidRPr="00B90505">
        <w:t>Aboutir à une coordination optimale des professionnels</w:t>
      </w:r>
      <w:r w:rsidR="000E59A4" w:rsidRPr="00B90505">
        <w:t xml:space="preserve"> de santé intervenant auprès du </w:t>
      </w:r>
      <w:r w:rsidR="00141D80" w:rsidRPr="00B90505">
        <w:t>résident</w:t>
      </w:r>
      <w:r w:rsidRPr="00B90505">
        <w:t xml:space="preserve"> et de sa famille ;</w:t>
      </w:r>
    </w:p>
    <w:p w14:paraId="5192E901" w14:textId="77777777" w:rsidR="00F81E10" w:rsidRDefault="00F81E10" w:rsidP="00F81E10">
      <w:pPr>
        <w:pStyle w:val="Paragraphedeliste"/>
        <w:spacing w:after="240"/>
        <w:ind w:left="284"/>
        <w:jc w:val="both"/>
      </w:pPr>
    </w:p>
    <w:p w14:paraId="3975C9CE" w14:textId="4A4294A9" w:rsidR="003B3AC5" w:rsidRDefault="000E59A4" w:rsidP="00F3461D">
      <w:pPr>
        <w:pStyle w:val="Paragraphedeliste"/>
        <w:numPr>
          <w:ilvl w:val="0"/>
          <w:numId w:val="38"/>
        </w:numPr>
        <w:spacing w:after="240"/>
        <w:ind w:left="284" w:hanging="426"/>
        <w:jc w:val="both"/>
      </w:pPr>
      <w:r w:rsidRPr="00B90505">
        <w:t xml:space="preserve">L’établissement </w:t>
      </w:r>
      <w:r w:rsidR="00E0171C" w:rsidRPr="00B90505">
        <w:t>s’engage à inviter la pharmacie d’officine à participer aux séances de formation et d'information spécifiques qu’il organise en son sein.</w:t>
      </w:r>
    </w:p>
    <w:p w14:paraId="774DED8F" w14:textId="77777777" w:rsidR="00F81E10" w:rsidRDefault="00F81E10" w:rsidP="00F81E10">
      <w:pPr>
        <w:pStyle w:val="Paragraphedeliste"/>
        <w:spacing w:after="240"/>
        <w:ind w:left="284"/>
        <w:jc w:val="both"/>
      </w:pPr>
    </w:p>
    <w:p w14:paraId="1E4A7270" w14:textId="713D0420" w:rsidR="00154626" w:rsidRDefault="00F77AD6" w:rsidP="00234DEE">
      <w:pPr>
        <w:pStyle w:val="Paragraphedeliste"/>
        <w:numPr>
          <w:ilvl w:val="0"/>
          <w:numId w:val="38"/>
        </w:numPr>
        <w:spacing w:after="240"/>
        <w:ind w:left="284" w:hanging="426"/>
        <w:jc w:val="both"/>
      </w:pPr>
      <w:r w:rsidRPr="00B90505">
        <w:lastRenderedPageBreak/>
        <w:t>L'établissement s'engage à tout mettre en œuvre auprès des familles pour que les factures des résidents soient transmises pour acquittement à la pharmacie d'officine.</w:t>
      </w:r>
      <w:r w:rsidR="006E3C95">
        <w:t xml:space="preserve"> Notamment, l'établissement s'engage à </w:t>
      </w:r>
      <w:r w:rsidR="0078504E">
        <w:t>t</w:t>
      </w:r>
      <w:r w:rsidR="006E3C95">
        <w:t>r</w:t>
      </w:r>
      <w:r w:rsidR="0078504E">
        <w:t>ansmettre</w:t>
      </w:r>
      <w:r w:rsidR="006E3C95">
        <w:t xml:space="preserve"> la carte vitale et les données de l'assurance complémentaire au moins tous les ans. </w:t>
      </w:r>
      <w:r w:rsidR="006E3C95">
        <w:br/>
      </w:r>
    </w:p>
    <w:p w14:paraId="00F4BE3F" w14:textId="7B6ED584" w:rsidR="0078504E" w:rsidRDefault="0078504E" w:rsidP="00141D80">
      <w:pPr>
        <w:pStyle w:val="Paragraphedeliste"/>
        <w:numPr>
          <w:ilvl w:val="0"/>
          <w:numId w:val="38"/>
        </w:numPr>
        <w:spacing w:after="240"/>
        <w:ind w:left="284" w:hanging="426"/>
        <w:jc w:val="both"/>
      </w:pPr>
      <w:bookmarkStart w:id="4" w:name="_Toc144941753"/>
      <w:r>
        <w:t>Le circuit d’alertes/retrait de lots ainsi que l’accusé de réception / actions mises en œuvre pour les médicaments et produits de santé susceptibles d’être en stock au sein de l’EHPAD devront être définis</w:t>
      </w:r>
    </w:p>
    <w:p w14:paraId="0639EC3A" w14:textId="5BB67008" w:rsidR="00564004" w:rsidRPr="00564004" w:rsidRDefault="00564004" w:rsidP="00141D80">
      <w:pPr>
        <w:pStyle w:val="Titre1"/>
      </w:pPr>
      <w:r>
        <w:t xml:space="preserve">ARTICLE 2 : MESURES RELATIVES AUX OBLIGATIONS DE </w:t>
      </w:r>
      <w:r w:rsidR="00141D80">
        <w:t>L</w:t>
      </w:r>
      <w:r>
        <w:t>’OFFICINE</w:t>
      </w:r>
      <w:bookmarkEnd w:id="4"/>
    </w:p>
    <w:p w14:paraId="594DC701" w14:textId="4E730D00" w:rsidR="00564004" w:rsidRPr="00564004" w:rsidRDefault="00564004" w:rsidP="00CD4586">
      <w:pPr>
        <w:pStyle w:val="Titre3"/>
        <w:numPr>
          <w:ilvl w:val="0"/>
          <w:numId w:val="32"/>
        </w:numPr>
      </w:pPr>
      <w:bookmarkStart w:id="5" w:name="_Toc144941754"/>
      <w:r w:rsidRPr="00564004">
        <w:t>Obligations propres aux pharmaciens d’officine</w:t>
      </w:r>
      <w:bookmarkEnd w:id="5"/>
    </w:p>
    <w:p w14:paraId="17D84F07" w14:textId="4D49133E" w:rsidR="00564004" w:rsidRPr="00B90505" w:rsidRDefault="00564004" w:rsidP="00AA2272">
      <w:pPr>
        <w:pStyle w:val="Paragraphedeliste"/>
        <w:numPr>
          <w:ilvl w:val="0"/>
          <w:numId w:val="27"/>
        </w:numPr>
        <w:ind w:left="284" w:hanging="284"/>
        <w:jc w:val="both"/>
      </w:pPr>
      <w:r w:rsidRPr="00B90505">
        <w:t>Les pharmaciens d’officine restent soumis à leurs propres obligations professionnelles.</w:t>
      </w:r>
    </w:p>
    <w:p w14:paraId="2C497626" w14:textId="19954515" w:rsidR="00CA16D5" w:rsidRDefault="00564004" w:rsidP="00AA2272">
      <w:pPr>
        <w:pStyle w:val="Paragraphedeliste"/>
        <w:numPr>
          <w:ilvl w:val="0"/>
          <w:numId w:val="27"/>
        </w:numPr>
        <w:ind w:left="284" w:hanging="284"/>
        <w:jc w:val="both"/>
      </w:pPr>
      <w:r w:rsidRPr="00B90505">
        <w:t>De même, les pharmaciens d’officine, comme tous les autres intervenants profess</w:t>
      </w:r>
      <w:r w:rsidR="00141D80" w:rsidRPr="00B90505">
        <w:t xml:space="preserve">ionnels, </w:t>
      </w:r>
      <w:r w:rsidRPr="00B90505">
        <w:t>sont tenus au respect du secret professionnel et des règles déontologiques notamment dans la</w:t>
      </w:r>
      <w:r w:rsidR="00141D80" w:rsidRPr="00B90505">
        <w:t xml:space="preserve"> </w:t>
      </w:r>
      <w:r w:rsidRPr="00B90505">
        <w:t>consultation des dossiers mais également dans les échanges avec le malade et/ou son entourage</w:t>
      </w:r>
      <w:r w:rsidR="00141D80" w:rsidRPr="00B90505">
        <w:t xml:space="preserve"> </w:t>
      </w:r>
      <w:r w:rsidRPr="00B90505">
        <w:t>(</w:t>
      </w:r>
      <w:r w:rsidR="00FA095D">
        <w:t>p</w:t>
      </w:r>
      <w:r w:rsidR="00CA16D5">
        <w:t>ersonne de confiance, famille)</w:t>
      </w:r>
    </w:p>
    <w:p w14:paraId="4432E833" w14:textId="4D937056" w:rsidR="00564004" w:rsidRPr="00B90505" w:rsidRDefault="00564004" w:rsidP="00AA2272">
      <w:pPr>
        <w:pStyle w:val="Paragraphedeliste"/>
        <w:numPr>
          <w:ilvl w:val="0"/>
          <w:numId w:val="27"/>
        </w:numPr>
        <w:ind w:left="284" w:hanging="284"/>
        <w:jc w:val="both"/>
      </w:pPr>
      <w:r w:rsidRPr="00B90505">
        <w:t>Les pharmaciens d’officine s’engagent à respecter les obliga</w:t>
      </w:r>
      <w:r w:rsidR="00141D80" w:rsidRPr="00B90505">
        <w:t xml:space="preserve">tions légales et réglementaires </w:t>
      </w:r>
      <w:r w:rsidRPr="00B90505">
        <w:t>en matière de développement professionnel continu.</w:t>
      </w:r>
    </w:p>
    <w:p w14:paraId="00FF4942" w14:textId="77777777" w:rsidR="00141D80" w:rsidRPr="00E0171C" w:rsidRDefault="00141D80" w:rsidP="00141D80">
      <w:pPr>
        <w:jc w:val="both"/>
        <w:rPr>
          <w:rFonts w:cstheme="minorHAnsi"/>
          <w:sz w:val="24"/>
          <w:szCs w:val="24"/>
        </w:rPr>
      </w:pPr>
    </w:p>
    <w:p w14:paraId="7002D7BF" w14:textId="6499C569" w:rsidR="00564004" w:rsidRPr="00564004" w:rsidRDefault="00564004" w:rsidP="00CD4586">
      <w:pPr>
        <w:pStyle w:val="Titre3"/>
        <w:numPr>
          <w:ilvl w:val="0"/>
          <w:numId w:val="32"/>
        </w:numPr>
      </w:pPr>
      <w:bookmarkStart w:id="6" w:name="_Toc144941755"/>
      <w:r w:rsidRPr="00564004">
        <w:t>Obligations de la Pharmacie d'Offici</w:t>
      </w:r>
      <w:r w:rsidR="00141D80">
        <w:t>ne vis-à-vis de l’établissement</w:t>
      </w:r>
      <w:bookmarkEnd w:id="6"/>
    </w:p>
    <w:p w14:paraId="381BB7D1" w14:textId="00F70531" w:rsidR="00564004" w:rsidRPr="00141D80" w:rsidRDefault="00564004" w:rsidP="00CD4586">
      <w:pPr>
        <w:pStyle w:val="Titre4"/>
        <w:numPr>
          <w:ilvl w:val="1"/>
          <w:numId w:val="32"/>
        </w:numPr>
      </w:pPr>
      <w:r w:rsidRPr="00141D80">
        <w:t>Niveau d’intervention de droit commun</w:t>
      </w:r>
    </w:p>
    <w:p w14:paraId="597814D4" w14:textId="010E4A5D" w:rsidR="00564004" w:rsidRPr="00B90505" w:rsidRDefault="00564004" w:rsidP="000E59A4">
      <w:pPr>
        <w:jc w:val="both"/>
      </w:pPr>
      <w:r w:rsidRPr="00B90505">
        <w:t>Le pharmacien titulaire d’officine s’engage à assurer pendant les hora</w:t>
      </w:r>
      <w:r w:rsidR="00141D80" w:rsidRPr="00B90505">
        <w:t xml:space="preserve">ires d’ouverture de l’officine, </w:t>
      </w:r>
      <w:r w:rsidRPr="00B90505">
        <w:t xml:space="preserve">dès l’entrée du </w:t>
      </w:r>
      <w:r w:rsidR="00141D80" w:rsidRPr="00B90505">
        <w:t>résident</w:t>
      </w:r>
      <w:r w:rsidRPr="00B90505">
        <w:t>, la d</w:t>
      </w:r>
      <w:r w:rsidR="00141D80" w:rsidRPr="00B90505">
        <w:t xml:space="preserve">ispensation des médicaments et, </w:t>
      </w:r>
      <w:r w:rsidRPr="00B90505">
        <w:t>le cas échéant, de certains dispositifs médicaux uniquement sur demande de l'</w:t>
      </w:r>
      <w:r w:rsidR="00141D80" w:rsidRPr="00B90505">
        <w:t>établissement</w:t>
      </w:r>
      <w:r w:rsidRPr="00B90505">
        <w:t>.</w:t>
      </w:r>
      <w:r w:rsidR="000D1815">
        <w:t xml:space="preserve"> Il est responsable de l’acte de dispensation, conformément à l'article R.4235-48 du Code de la Sante Publique, ainsi qu'à toutes les dispositions du Code de déontologie et aux bonnes pratiques </w:t>
      </w:r>
      <w:r w:rsidR="000D1815" w:rsidRPr="00B02B15">
        <w:t>applicables aux pharmaciens exerçant dans les officines</w:t>
      </w:r>
      <w:r w:rsidR="000D1815">
        <w:t>.</w:t>
      </w:r>
      <w:r w:rsidR="000D1815" w:rsidRPr="00B02B15">
        <w:t xml:space="preserve"> </w:t>
      </w:r>
      <w:r w:rsidR="000D1815" w:rsidRPr="00B02B15">
        <w:rPr>
          <w:rStyle w:val="A7"/>
          <w:sz w:val="22"/>
          <w:szCs w:val="22"/>
        </w:rPr>
        <w:t>Le pharmacien dispensateur s’engage à récep</w:t>
      </w:r>
      <w:r w:rsidR="000D1815" w:rsidRPr="00B02B15">
        <w:rPr>
          <w:rStyle w:val="A7"/>
          <w:sz w:val="22"/>
          <w:szCs w:val="22"/>
        </w:rPr>
        <w:softHyphen/>
        <w:t xml:space="preserve">tionner les ordonnances aux heures d’ouverture de la pharmacie, chaque jour ouvré, et à assurer les </w:t>
      </w:r>
      <w:r w:rsidR="0078504E">
        <w:rPr>
          <w:rStyle w:val="A7"/>
          <w:sz w:val="22"/>
          <w:szCs w:val="22"/>
        </w:rPr>
        <w:t xml:space="preserve">dispensations (livraisons et </w:t>
      </w:r>
      <w:proofErr w:type="gramStart"/>
      <w:r w:rsidR="0078504E">
        <w:rPr>
          <w:rStyle w:val="A7"/>
          <w:sz w:val="22"/>
          <w:szCs w:val="22"/>
        </w:rPr>
        <w:t>conseils)</w:t>
      </w:r>
      <w:r w:rsidR="0078504E" w:rsidRPr="00B02B15">
        <w:rPr>
          <w:rStyle w:val="A7"/>
          <w:sz w:val="22"/>
          <w:szCs w:val="22"/>
        </w:rPr>
        <w:t xml:space="preserve"> </w:t>
      </w:r>
      <w:r w:rsidR="000D1815" w:rsidRPr="00B02B15">
        <w:rPr>
          <w:rStyle w:val="A7"/>
          <w:sz w:val="22"/>
          <w:szCs w:val="22"/>
        </w:rPr>
        <w:t xml:space="preserve"> selon</w:t>
      </w:r>
      <w:proofErr w:type="gramEnd"/>
      <w:r w:rsidR="000D1815" w:rsidRPr="00B02B15">
        <w:rPr>
          <w:rStyle w:val="A7"/>
          <w:sz w:val="22"/>
          <w:szCs w:val="22"/>
        </w:rPr>
        <w:t xml:space="preserve"> la présente convention.</w:t>
      </w:r>
    </w:p>
    <w:p w14:paraId="6EC3E4BA" w14:textId="77777777" w:rsidR="00564004" w:rsidRPr="00B90505" w:rsidRDefault="00564004" w:rsidP="000E59A4">
      <w:pPr>
        <w:jc w:val="both"/>
      </w:pPr>
      <w:r w:rsidRPr="00B90505">
        <w:t>De ce fait, il s'engage également à :</w:t>
      </w:r>
    </w:p>
    <w:p w14:paraId="3962B12A" w14:textId="2BC3DD47" w:rsidR="00564004" w:rsidRDefault="00564004" w:rsidP="000D1815">
      <w:pPr>
        <w:pStyle w:val="Paragraphedeliste"/>
        <w:numPr>
          <w:ilvl w:val="0"/>
          <w:numId w:val="26"/>
        </w:numPr>
        <w:jc w:val="both"/>
      </w:pPr>
      <w:r w:rsidRPr="00B90505">
        <w:t>Appliquer les procédures, règlements, instructions et modes op</w:t>
      </w:r>
      <w:r w:rsidR="000E59A4" w:rsidRPr="00B90505">
        <w:t xml:space="preserve">ératoires de l’établissement </w:t>
      </w:r>
      <w:r w:rsidRPr="00B90505">
        <w:t>dont il atteste avoir pris connaissance ;</w:t>
      </w:r>
    </w:p>
    <w:p w14:paraId="140CC117" w14:textId="77777777" w:rsidR="00AA2272" w:rsidRPr="00B90505" w:rsidRDefault="00AA2272" w:rsidP="00AA2272">
      <w:pPr>
        <w:pStyle w:val="Paragraphedeliste"/>
        <w:jc w:val="both"/>
      </w:pPr>
    </w:p>
    <w:p w14:paraId="7F977946" w14:textId="1F7D4337" w:rsidR="00AA2272" w:rsidRDefault="000D1815" w:rsidP="00AA2272">
      <w:pPr>
        <w:pStyle w:val="Paragraphedeliste"/>
        <w:numPr>
          <w:ilvl w:val="0"/>
          <w:numId w:val="26"/>
        </w:numPr>
        <w:jc w:val="both"/>
      </w:pPr>
      <w:r w:rsidRPr="00B90505">
        <w:t xml:space="preserve">Signaler dans les plus brefs délais à l’établissement, toutes les informations présentes </w:t>
      </w:r>
      <w:r>
        <w:t>et antérieures dont il a</w:t>
      </w:r>
      <w:r w:rsidRPr="00B90505">
        <w:t xml:space="preserve"> connaissance, utiles à la bonne prise en charge du résident ainsi que les changements de prescriptions issus de l’analyse pharmaceutique ;</w:t>
      </w:r>
    </w:p>
    <w:p w14:paraId="25BDDB6C" w14:textId="77777777" w:rsidR="00AA2272" w:rsidRPr="00B90505" w:rsidRDefault="00AA2272" w:rsidP="00AA2272">
      <w:pPr>
        <w:pStyle w:val="Paragraphedeliste"/>
        <w:jc w:val="both"/>
      </w:pPr>
    </w:p>
    <w:p w14:paraId="14010B12" w14:textId="2BCB1C4B" w:rsidR="00564004" w:rsidRDefault="00564004" w:rsidP="000D1815">
      <w:pPr>
        <w:pStyle w:val="Paragraphedeliste"/>
        <w:numPr>
          <w:ilvl w:val="0"/>
          <w:numId w:val="26"/>
        </w:numPr>
        <w:jc w:val="both"/>
      </w:pPr>
      <w:r w:rsidRPr="00B90505">
        <w:t>Garantir l’analyse pharmaceutique et contacter le prescrip</w:t>
      </w:r>
      <w:r w:rsidR="000E59A4" w:rsidRPr="00B90505">
        <w:t xml:space="preserve">teur pour un avis thérapeutique </w:t>
      </w:r>
      <w:r w:rsidRPr="00B90505">
        <w:t xml:space="preserve">en cas d’anomalie relevée </w:t>
      </w:r>
      <w:r w:rsidR="000E59A4" w:rsidRPr="00B90505">
        <w:t>sur</w:t>
      </w:r>
      <w:r w:rsidRPr="00B90505">
        <w:t xml:space="preserve"> la prescription, ou si la pharmacie est dans l’impossib</w:t>
      </w:r>
      <w:r w:rsidR="000E59A4" w:rsidRPr="00B90505">
        <w:t xml:space="preserve">ilité </w:t>
      </w:r>
      <w:r w:rsidRPr="00B90505">
        <w:t>de fournir un produit spécifique. Cet échange e</w:t>
      </w:r>
      <w:r w:rsidR="000E59A4" w:rsidRPr="00B90505">
        <w:t xml:space="preserve">st obligatoirement tracé sur la </w:t>
      </w:r>
      <w:r w:rsidRPr="00B90505">
        <w:t>prescription ;</w:t>
      </w:r>
    </w:p>
    <w:p w14:paraId="2A093CDE" w14:textId="77777777" w:rsidR="00AA2272" w:rsidRPr="00B90505" w:rsidRDefault="00AA2272" w:rsidP="00AA2272">
      <w:pPr>
        <w:pStyle w:val="Paragraphedeliste"/>
        <w:jc w:val="both"/>
      </w:pPr>
    </w:p>
    <w:p w14:paraId="1BFCD500" w14:textId="6882F271" w:rsidR="000D1815" w:rsidRDefault="00730134" w:rsidP="000E59A4">
      <w:pPr>
        <w:pStyle w:val="Paragraphedeliste"/>
        <w:numPr>
          <w:ilvl w:val="0"/>
          <w:numId w:val="26"/>
        </w:numPr>
        <w:jc w:val="both"/>
      </w:pPr>
      <w:r>
        <w:t>T</w:t>
      </w:r>
      <w:r w:rsidR="00564004" w:rsidRPr="00B90505">
        <w:t>racer l'analyse pharmaceuti</w:t>
      </w:r>
      <w:r w:rsidR="000E59A4" w:rsidRPr="00B90505">
        <w:t xml:space="preserve">que dans le dossier informatisé </w:t>
      </w:r>
      <w:r w:rsidR="00564004" w:rsidRPr="00B90505">
        <w:t xml:space="preserve">du </w:t>
      </w:r>
      <w:r w:rsidR="00141D80" w:rsidRPr="00B90505">
        <w:t>résident</w:t>
      </w:r>
      <w:r w:rsidR="00564004" w:rsidRPr="00B90505">
        <w:t xml:space="preserve"> et/ou sur l'ordonnance.</w:t>
      </w:r>
    </w:p>
    <w:p w14:paraId="5BAA3549" w14:textId="77777777" w:rsidR="00AA2272" w:rsidRDefault="00AA2272" w:rsidP="00AA2272">
      <w:pPr>
        <w:pStyle w:val="Paragraphedeliste"/>
        <w:jc w:val="both"/>
      </w:pPr>
    </w:p>
    <w:p w14:paraId="44C17433" w14:textId="3757F559" w:rsidR="000D1815" w:rsidRDefault="00730134" w:rsidP="000E59A4">
      <w:pPr>
        <w:pStyle w:val="Paragraphedeliste"/>
        <w:numPr>
          <w:ilvl w:val="0"/>
          <w:numId w:val="26"/>
        </w:numPr>
        <w:jc w:val="both"/>
      </w:pPr>
      <w:r>
        <w:t>R</w:t>
      </w:r>
      <w:r w:rsidR="00564004" w:rsidRPr="00B90505">
        <w:t>éaliser un bilan partagé de méd</w:t>
      </w:r>
      <w:r w:rsidR="000E59A4" w:rsidRPr="00B90505">
        <w:t xml:space="preserve">ication conformément à </w:t>
      </w:r>
      <w:r w:rsidR="000033B8">
        <w:t>la convention pharmaceutique</w:t>
      </w:r>
      <w:r w:rsidR="00315798">
        <w:t>, notamment l’</w:t>
      </w:r>
      <w:r w:rsidR="00564004" w:rsidRPr="00B90505">
        <w:t>article 28.5.3 « modalité du bilan partagé de médication »</w:t>
      </w:r>
      <w:r w:rsidR="00ED68B7" w:rsidRPr="00B90505">
        <w:t xml:space="preserve"> à l’entrée du résident et selon les besoins</w:t>
      </w:r>
      <w:r w:rsidR="00564004" w:rsidRPr="00B90505">
        <w:t>.</w:t>
      </w:r>
    </w:p>
    <w:p w14:paraId="3F10EE99" w14:textId="77777777" w:rsidR="00AA2272" w:rsidRDefault="00AA2272" w:rsidP="00AA2272">
      <w:pPr>
        <w:pStyle w:val="Paragraphedeliste"/>
        <w:jc w:val="both"/>
      </w:pPr>
    </w:p>
    <w:p w14:paraId="5A47F949" w14:textId="1475488F" w:rsidR="0078504E" w:rsidRDefault="00564004" w:rsidP="0078504E">
      <w:pPr>
        <w:pStyle w:val="Paragraphedeliste"/>
        <w:numPr>
          <w:ilvl w:val="0"/>
          <w:numId w:val="26"/>
        </w:numPr>
        <w:jc w:val="both"/>
      </w:pPr>
      <w:r w:rsidRPr="00B90505">
        <w:t xml:space="preserve">Prodiguer les conseils de prévention nécessaires à la bonne prise en charge du </w:t>
      </w:r>
      <w:r w:rsidR="00141D80" w:rsidRPr="00B90505">
        <w:t>résident</w:t>
      </w:r>
      <w:r w:rsidRPr="00B90505">
        <w:t xml:space="preserve"> </w:t>
      </w:r>
      <w:r w:rsidR="0078504E">
        <w:t>notamment relatif à la possibilité d’écraser ou non les médicaments en cas de risque de fausse route ou de difficulté d’un résident.</w:t>
      </w:r>
    </w:p>
    <w:p w14:paraId="0578C264" w14:textId="77777777" w:rsidR="00AA2272" w:rsidRDefault="00AA2272" w:rsidP="00AA2272">
      <w:pPr>
        <w:pStyle w:val="Paragraphedeliste"/>
        <w:jc w:val="both"/>
      </w:pPr>
    </w:p>
    <w:p w14:paraId="6117038A" w14:textId="3632ECC4" w:rsidR="000D1815" w:rsidRDefault="00564004" w:rsidP="000E59A4">
      <w:pPr>
        <w:pStyle w:val="Paragraphedeliste"/>
        <w:numPr>
          <w:ilvl w:val="0"/>
          <w:numId w:val="26"/>
        </w:numPr>
        <w:jc w:val="both"/>
      </w:pPr>
      <w:r w:rsidRPr="00B90505">
        <w:t xml:space="preserve">Prévenir les incidents ou accidents iatrogènes et favoriser l’observance </w:t>
      </w:r>
      <w:r w:rsidR="00ED68B7" w:rsidRPr="00B90505">
        <w:t xml:space="preserve">notamment en proposant des plans de prise </w:t>
      </w:r>
      <w:r w:rsidRPr="00B90505">
        <w:t>;</w:t>
      </w:r>
    </w:p>
    <w:p w14:paraId="5AB1F471" w14:textId="77777777" w:rsidR="00AA2272" w:rsidRDefault="00AA2272" w:rsidP="00AA2272">
      <w:pPr>
        <w:pStyle w:val="Paragraphedeliste"/>
        <w:jc w:val="both"/>
      </w:pPr>
    </w:p>
    <w:p w14:paraId="12023C98" w14:textId="0753BDA9" w:rsidR="000D1815" w:rsidRDefault="00564004" w:rsidP="000E59A4">
      <w:pPr>
        <w:pStyle w:val="Paragraphedeliste"/>
        <w:numPr>
          <w:ilvl w:val="0"/>
          <w:numId w:val="26"/>
        </w:numPr>
        <w:jc w:val="both"/>
      </w:pPr>
      <w:r w:rsidRPr="00B90505">
        <w:t xml:space="preserve">Délivrer des médicaments génériques et </w:t>
      </w:r>
      <w:proofErr w:type="spellStart"/>
      <w:r w:rsidRPr="00B90505">
        <w:t>biosimilaires</w:t>
      </w:r>
      <w:proofErr w:type="spellEnd"/>
      <w:r w:rsidRPr="00B90505">
        <w:t>, sauf men</w:t>
      </w:r>
      <w:r w:rsidR="000E59A4" w:rsidRPr="00B90505">
        <w:t xml:space="preserve">tion contraire du prescripteur, </w:t>
      </w:r>
      <w:r w:rsidRPr="00B90505">
        <w:t>en précisant l’équivalence</w:t>
      </w:r>
      <w:r w:rsidR="00ED68B7" w:rsidRPr="00B90505">
        <w:t xml:space="preserve"> et en limitant, dans la mesure du possible, les changements de laboratoires ou de présentation pour éviter le risque iatrogène.</w:t>
      </w:r>
    </w:p>
    <w:p w14:paraId="329FC41A" w14:textId="77777777" w:rsidR="00AA2272" w:rsidRDefault="00AA2272" w:rsidP="00AA2272">
      <w:pPr>
        <w:pStyle w:val="Paragraphedeliste"/>
        <w:jc w:val="both"/>
      </w:pPr>
    </w:p>
    <w:p w14:paraId="6E6BFE15" w14:textId="0FAC47D3" w:rsidR="000D1815" w:rsidRDefault="00564004" w:rsidP="000D1815">
      <w:pPr>
        <w:pStyle w:val="Paragraphedeliste"/>
        <w:numPr>
          <w:ilvl w:val="0"/>
          <w:numId w:val="26"/>
        </w:numPr>
        <w:jc w:val="both"/>
      </w:pPr>
      <w:r w:rsidRPr="00B90505">
        <w:t>Informer le médecin tr</w:t>
      </w:r>
      <w:r w:rsidR="000E59A4" w:rsidRPr="00B90505">
        <w:t xml:space="preserve">aitant, les professionnels de l’établissement </w:t>
      </w:r>
      <w:r w:rsidRPr="00B90505">
        <w:t xml:space="preserve">et le </w:t>
      </w:r>
      <w:r w:rsidR="00141D80" w:rsidRPr="00B90505">
        <w:t>résident</w:t>
      </w:r>
      <w:r w:rsidR="000E59A4" w:rsidRPr="00B90505">
        <w:t xml:space="preserve"> en cas de rupture </w:t>
      </w:r>
      <w:r w:rsidRPr="00B90505">
        <w:t>d’approvisionnement en médicament</w:t>
      </w:r>
      <w:r w:rsidR="00ED68B7" w:rsidRPr="00B90505">
        <w:t xml:space="preserve"> et proposer des alternatives</w:t>
      </w:r>
      <w:r w:rsidRPr="00B90505">
        <w:t>.</w:t>
      </w:r>
    </w:p>
    <w:p w14:paraId="5F4C25D1" w14:textId="77777777" w:rsidR="00AA2272" w:rsidRDefault="00AA2272" w:rsidP="00AA2272">
      <w:pPr>
        <w:pStyle w:val="Paragraphedeliste"/>
        <w:jc w:val="both"/>
      </w:pPr>
    </w:p>
    <w:p w14:paraId="212BBCF4" w14:textId="77777777" w:rsidR="004D6C0F" w:rsidRDefault="00564004" w:rsidP="00805018">
      <w:pPr>
        <w:pStyle w:val="Paragraphedeliste"/>
        <w:numPr>
          <w:ilvl w:val="0"/>
          <w:numId w:val="26"/>
        </w:numPr>
        <w:jc w:val="both"/>
      </w:pPr>
      <w:r w:rsidRPr="00B90505">
        <w:t xml:space="preserve">Effectuer une délivrance </w:t>
      </w:r>
      <w:r w:rsidR="00234DEE">
        <w:t xml:space="preserve">à un rythme à contractualiser en fonction des contraintes des deux parties </w:t>
      </w:r>
      <w:r w:rsidR="00234DEE" w:rsidRPr="00F3461D">
        <w:t>(</w:t>
      </w:r>
      <w:r w:rsidR="00234DEE" w:rsidRPr="00F3461D">
        <w:rPr>
          <w:highlight w:val="lightGray"/>
        </w:rPr>
        <w:t>à préciser</w:t>
      </w:r>
      <w:r w:rsidR="00234DEE" w:rsidRPr="00F3461D">
        <w:t>)</w:t>
      </w:r>
      <w:r w:rsidR="00234DEE">
        <w:t>, de préférence hebdomadaire</w:t>
      </w:r>
      <w:r w:rsidRPr="00B90505">
        <w:t xml:space="preserve"> dans un souci de </w:t>
      </w:r>
      <w:r w:rsidR="000D1815">
        <w:t>sécurisation de la prise en charge médicamenteuse et de maîtrise des dépenses</w:t>
      </w:r>
      <w:r w:rsidR="00FA095D">
        <w:t>.</w:t>
      </w:r>
      <w:r w:rsidR="00805018">
        <w:t xml:space="preserve"> L’envoi de l’ordonnance (informatisée si possible) devra être organisé de façon à être le plus coordonné possible avec la PDA de façon à éviter toutes modifications d’ordonnances non prises en compte. </w:t>
      </w:r>
    </w:p>
    <w:p w14:paraId="4FBC47B0" w14:textId="77777777" w:rsidR="004D6C0F" w:rsidRDefault="004D6C0F" w:rsidP="004D6C0F">
      <w:pPr>
        <w:pStyle w:val="Paragraphedeliste"/>
      </w:pPr>
    </w:p>
    <w:p w14:paraId="551DC145" w14:textId="77777777" w:rsidR="004D6C0F" w:rsidRDefault="00805018" w:rsidP="004D6C0F">
      <w:pPr>
        <w:pStyle w:val="Paragraphedeliste"/>
        <w:jc w:val="both"/>
      </w:pPr>
      <w:r>
        <w:t xml:space="preserve">Aucune mention manuscrite en plus ne pourra être pris en considération sauf mention expresse du prescripteur. </w:t>
      </w:r>
    </w:p>
    <w:p w14:paraId="4D011DD6" w14:textId="77777777" w:rsidR="004D6C0F" w:rsidRDefault="004D6C0F" w:rsidP="004D6C0F">
      <w:pPr>
        <w:pStyle w:val="Paragraphedeliste"/>
        <w:jc w:val="both"/>
      </w:pPr>
    </w:p>
    <w:p w14:paraId="3A22DDBE" w14:textId="2035DA36" w:rsidR="000D1815" w:rsidRDefault="00805018" w:rsidP="004D6C0F">
      <w:pPr>
        <w:pStyle w:val="Paragraphedeliste"/>
        <w:jc w:val="both"/>
      </w:pPr>
      <w:r>
        <w:t>Aucune demande par téléphone ne doit être prise en charge pour modifier un traitement ou lancer une production</w:t>
      </w:r>
    </w:p>
    <w:p w14:paraId="30FDB241" w14:textId="77777777" w:rsidR="00AA2272" w:rsidRDefault="00AA2272" w:rsidP="00AA2272">
      <w:pPr>
        <w:pStyle w:val="Paragraphedeliste"/>
        <w:jc w:val="both"/>
      </w:pPr>
    </w:p>
    <w:p w14:paraId="3E5D62ED" w14:textId="73ACBEA4" w:rsidR="000D1815" w:rsidRDefault="000D1815" w:rsidP="000D1815">
      <w:pPr>
        <w:pStyle w:val="Paragraphedeliste"/>
        <w:numPr>
          <w:ilvl w:val="0"/>
          <w:numId w:val="26"/>
        </w:numPr>
        <w:jc w:val="both"/>
      </w:pPr>
      <w:r w:rsidRPr="00B90505">
        <w:t>Alimenter le DMP et le cas échéant le dossier pharmaceutique à l'occasion de la dispensation. Les informations de ce dossier</w:t>
      </w:r>
      <w:r w:rsidR="00FA095D">
        <w:t>,</w:t>
      </w:r>
      <w:r w:rsidRPr="00B90505">
        <w:t xml:space="preserve"> utiles à la coordination des soins</w:t>
      </w:r>
      <w:r w:rsidR="00FA095D">
        <w:t>,</w:t>
      </w:r>
      <w:r w:rsidRPr="00B90505">
        <w:t xml:space="preserve"> sont reportées dans le dossier médical personnel dans les conditions prévues à l'article L. 1111-15 du code de la santé publique</w:t>
      </w:r>
    </w:p>
    <w:p w14:paraId="1516B5B2" w14:textId="77777777" w:rsidR="00AA2272" w:rsidRPr="00B90505" w:rsidRDefault="00AA2272" w:rsidP="00AA2272">
      <w:pPr>
        <w:pStyle w:val="Paragraphedeliste"/>
        <w:jc w:val="both"/>
      </w:pPr>
    </w:p>
    <w:p w14:paraId="0BA9F2AB" w14:textId="2655C61B" w:rsidR="00D555DE" w:rsidRDefault="00564004" w:rsidP="00D555DE">
      <w:pPr>
        <w:pStyle w:val="Paragraphedeliste"/>
        <w:numPr>
          <w:ilvl w:val="0"/>
          <w:numId w:val="26"/>
        </w:numPr>
        <w:jc w:val="both"/>
      </w:pPr>
      <w:r w:rsidRPr="00B90505">
        <w:t xml:space="preserve">Assurer la continuité </w:t>
      </w:r>
      <w:r w:rsidR="00F3461D">
        <w:t>de la prestation</w:t>
      </w:r>
      <w:r w:rsidRPr="00B90505">
        <w:t xml:space="preserve"> </w:t>
      </w:r>
      <w:r w:rsidR="00F3461D">
        <w:t xml:space="preserve">comme suit : </w:t>
      </w:r>
    </w:p>
    <w:p w14:paraId="1D8BEA6B" w14:textId="4D00D05E" w:rsidR="00F3461D" w:rsidRPr="00F3461D" w:rsidRDefault="00F3461D" w:rsidP="00F3461D">
      <w:pPr>
        <w:pStyle w:val="Paragraphedeliste"/>
        <w:numPr>
          <w:ilvl w:val="0"/>
          <w:numId w:val="42"/>
        </w:numPr>
        <w:spacing w:after="120" w:line="240" w:lineRule="auto"/>
        <w:jc w:val="both"/>
      </w:pPr>
      <w:r w:rsidRPr="00F3461D">
        <w:t xml:space="preserve">Renouvellement de traitement (sans urgence) : la livraison est effectuée au plus tard </w:t>
      </w:r>
      <w:r w:rsidRPr="00F3461D">
        <w:rPr>
          <w:i/>
          <w:iCs/>
          <w:highlight w:val="lightGray"/>
        </w:rPr>
        <w:t>la veille</w:t>
      </w:r>
      <w:r w:rsidRPr="00F3461D">
        <w:t xml:space="preserve"> qui précède la fin du traitement continu. Les ordonnances de renouvellement, le cas échéant, sont transmises </w:t>
      </w:r>
      <w:r w:rsidRPr="00F3461D">
        <w:rPr>
          <w:i/>
          <w:iCs/>
          <w:highlight w:val="lightGray"/>
        </w:rPr>
        <w:t>8 jours</w:t>
      </w:r>
      <w:r w:rsidRPr="00F3461D">
        <w:t xml:space="preserve"> avant la fin du traitement continu, à jour fixe arrêté (</w:t>
      </w:r>
      <w:r w:rsidRPr="00F3461D">
        <w:rPr>
          <w:highlight w:val="lightGray"/>
        </w:rPr>
        <w:t>jour à préciser</w:t>
      </w:r>
      <w:r w:rsidRPr="00F3461D">
        <w:t>) par le pharmacien et l’</w:t>
      </w:r>
      <w:r>
        <w:t>établissement</w:t>
      </w:r>
      <w:r w:rsidRPr="00F3461D">
        <w:t>.</w:t>
      </w:r>
    </w:p>
    <w:p w14:paraId="1BACC94A" w14:textId="65AE2C61" w:rsidR="00F3461D" w:rsidRPr="00F3461D" w:rsidRDefault="00F3461D" w:rsidP="00737917">
      <w:pPr>
        <w:pStyle w:val="Paragraphedeliste"/>
        <w:numPr>
          <w:ilvl w:val="0"/>
          <w:numId w:val="42"/>
        </w:numPr>
        <w:spacing w:after="120" w:line="240" w:lineRule="auto"/>
        <w:jc w:val="both"/>
        <w:rPr>
          <w:i/>
          <w:iCs/>
        </w:rPr>
      </w:pPr>
      <w:r w:rsidRPr="00F3461D">
        <w:t xml:space="preserve">Traitement destiné à un « nouveau » </w:t>
      </w:r>
      <w:r>
        <w:t>résident</w:t>
      </w:r>
      <w:r w:rsidRPr="00F3461D">
        <w:t xml:space="preserve">, traitement intercurrent, modification de </w:t>
      </w:r>
      <w:r w:rsidRPr="00AA2272">
        <w:t xml:space="preserve">traitement : </w:t>
      </w:r>
      <w:r w:rsidRPr="00AA2272">
        <w:rPr>
          <w:i/>
          <w:iCs/>
        </w:rPr>
        <w:t xml:space="preserve">la livraison </w:t>
      </w:r>
      <w:r w:rsidRPr="00F3461D">
        <w:rPr>
          <w:i/>
          <w:iCs/>
        </w:rPr>
        <w:t>est effectuée dans la journée pour toute ordonnance transmise</w:t>
      </w:r>
      <w:r w:rsidR="00234DEE">
        <w:rPr>
          <w:i/>
          <w:iCs/>
        </w:rPr>
        <w:t xml:space="preserve"> avant</w:t>
      </w:r>
      <w:r w:rsidRPr="00F3461D">
        <w:rPr>
          <w:i/>
          <w:iCs/>
        </w:rPr>
        <w:t xml:space="preserve"> </w:t>
      </w:r>
      <w:r w:rsidR="00234DEE" w:rsidRPr="00F3461D">
        <w:t>(</w:t>
      </w:r>
      <w:r w:rsidR="00234DEE" w:rsidRPr="00234DEE">
        <w:rPr>
          <w:highlight w:val="lightGray"/>
        </w:rPr>
        <w:t xml:space="preserve">horaire </w:t>
      </w:r>
      <w:r w:rsidR="00234DEE" w:rsidRPr="00F3461D">
        <w:rPr>
          <w:highlight w:val="lightGray"/>
        </w:rPr>
        <w:t>à préciser</w:t>
      </w:r>
      <w:r w:rsidR="00234DEE" w:rsidRPr="00F3461D">
        <w:t>)</w:t>
      </w:r>
      <w:r w:rsidR="00234DEE">
        <w:t xml:space="preserve"> </w:t>
      </w:r>
      <w:r w:rsidRPr="00234DEE">
        <w:rPr>
          <w:i/>
          <w:iCs/>
        </w:rPr>
        <w:t>du lundi au vendredi</w:t>
      </w:r>
      <w:r w:rsidRPr="00F3461D">
        <w:rPr>
          <w:i/>
          <w:iCs/>
        </w:rPr>
        <w:t>.</w:t>
      </w:r>
      <w:r w:rsidR="00737917" w:rsidRPr="00737917">
        <w:t xml:space="preserve"> </w:t>
      </w:r>
      <w:r w:rsidR="00737917" w:rsidRPr="00737917">
        <w:rPr>
          <w:i/>
          <w:iCs/>
        </w:rPr>
        <w:t>En cas de modification du traitement ou d'ajout en cours de pilulier, l'officine s'engage à fournir le traitement avec sur-étiquetage nécessaire permettant à l'établissement de compléter le pilulier en cours.</w:t>
      </w:r>
    </w:p>
    <w:p w14:paraId="4EB2DB1F" w14:textId="2669674A" w:rsidR="00F3461D" w:rsidRPr="00F3461D" w:rsidRDefault="00F3461D" w:rsidP="00F3461D">
      <w:pPr>
        <w:pStyle w:val="Paragraphedeliste"/>
        <w:numPr>
          <w:ilvl w:val="0"/>
          <w:numId w:val="42"/>
        </w:numPr>
        <w:spacing w:after="120" w:line="240" w:lineRule="auto"/>
        <w:jc w:val="both"/>
      </w:pPr>
      <w:r w:rsidRPr="00F3461D">
        <w:t xml:space="preserve">Traitement aigu, en urgence : la livraison a lieu </w:t>
      </w:r>
      <w:r w:rsidRPr="00F3461D">
        <w:rPr>
          <w:i/>
          <w:iCs/>
          <w:highlight w:val="lightGray"/>
        </w:rPr>
        <w:t>dans les 4h</w:t>
      </w:r>
      <w:r w:rsidRPr="00F3461D">
        <w:t xml:space="preserve"> suivant la transmission de l’ordonnance d</w:t>
      </w:r>
      <w:r>
        <w:t xml:space="preserve">u résident </w:t>
      </w:r>
      <w:r w:rsidRPr="00F3461D">
        <w:t xml:space="preserve">si les médicaments liés à la </w:t>
      </w:r>
      <w:r w:rsidRPr="00B77F12">
        <w:t xml:space="preserve">dotation </w:t>
      </w:r>
      <w:r w:rsidR="00B77F12" w:rsidRPr="0008740F">
        <w:t>pour répondre à des besoins de soins prescrits en urgence</w:t>
      </w:r>
      <w:r w:rsidR="00B77F12" w:rsidRPr="00F3461D">
        <w:t xml:space="preserve"> </w:t>
      </w:r>
      <w:r w:rsidRPr="00F3461D">
        <w:t>dans l’</w:t>
      </w:r>
      <w:r>
        <w:t>établissement</w:t>
      </w:r>
      <w:r w:rsidRPr="00F3461D">
        <w:t xml:space="preserve"> ne répondent pas au besoin pharmaceutique. Si impossibilité pour l’officine conventionnée d’engager la dispensation des traitements en urgence, envisager ponctuellement le rapprochement avec une autre officine. </w:t>
      </w:r>
    </w:p>
    <w:p w14:paraId="3E8D19CA" w14:textId="014A53EB" w:rsidR="00F3461D" w:rsidRPr="00F3461D" w:rsidRDefault="00F3461D" w:rsidP="00F3461D">
      <w:pPr>
        <w:pStyle w:val="Paragraphedeliste"/>
        <w:numPr>
          <w:ilvl w:val="0"/>
          <w:numId w:val="42"/>
        </w:numPr>
        <w:spacing w:after="120" w:line="240" w:lineRule="auto"/>
        <w:jc w:val="both"/>
      </w:pPr>
      <w:r w:rsidRPr="00F3461D">
        <w:t>En dehors des heures habituelles d’ouverture, les jours fériés, les dimanches et le cas échéant les samedis, l’</w:t>
      </w:r>
      <w:r w:rsidR="00B77F12">
        <w:t>établissement</w:t>
      </w:r>
      <w:r w:rsidRPr="00F3461D">
        <w:t xml:space="preserve"> sollicite une des officines de garde, dont le nom lui est communiqué par le pharmacien référent.</w:t>
      </w:r>
    </w:p>
    <w:p w14:paraId="1E648726" w14:textId="77777777" w:rsidR="00B77F12" w:rsidRDefault="00F3461D" w:rsidP="00F3461D">
      <w:pPr>
        <w:pStyle w:val="Paragraphedeliste"/>
        <w:numPr>
          <w:ilvl w:val="0"/>
          <w:numId w:val="42"/>
        </w:numPr>
        <w:spacing w:after="120" w:line="240" w:lineRule="auto"/>
        <w:jc w:val="both"/>
      </w:pPr>
      <w:r w:rsidRPr="00F3461D">
        <w:t>Congés et fermetures exceptionnelles : le pharmacien informe l’</w:t>
      </w:r>
      <w:r w:rsidR="00B77F12">
        <w:t>établissement</w:t>
      </w:r>
      <w:r w:rsidRPr="00F3461D">
        <w:t xml:space="preserve"> de ses dates de fermeture un mois avant et les parties définissent par écrit la procédure pour assurer la continuité de l’approvisionnement.</w:t>
      </w:r>
    </w:p>
    <w:p w14:paraId="70FE3302" w14:textId="4912CBBC" w:rsidR="00F3461D" w:rsidRDefault="00F3461D" w:rsidP="00F3461D">
      <w:pPr>
        <w:pStyle w:val="Paragraphedeliste"/>
        <w:numPr>
          <w:ilvl w:val="0"/>
          <w:numId w:val="42"/>
        </w:numPr>
        <w:spacing w:after="120" w:line="240" w:lineRule="auto"/>
        <w:jc w:val="both"/>
      </w:pPr>
      <w:r w:rsidRPr="00B77F12">
        <w:t>Les médicaments rétrocédés par une pharmacie à usage intérieur (non disponibles en pharmacie d’officine) sont exclus du périmètre de la présente convention. Il convient à l’</w:t>
      </w:r>
      <w:r w:rsidR="00B77F12" w:rsidRPr="00B77F12">
        <w:t>établissement</w:t>
      </w:r>
      <w:r w:rsidRPr="00B77F12">
        <w:t xml:space="preserve"> de </w:t>
      </w:r>
      <w:r w:rsidRPr="00B77F12">
        <w:lastRenderedPageBreak/>
        <w:t>définir une organisation permettant l’approvisionnement de ces médicaments pour les usagers concernés.</w:t>
      </w:r>
    </w:p>
    <w:p w14:paraId="3B32270F" w14:textId="77777777" w:rsidR="00AA2272" w:rsidRDefault="00AA2272" w:rsidP="00AA2272">
      <w:pPr>
        <w:jc w:val="both"/>
      </w:pPr>
    </w:p>
    <w:p w14:paraId="31F559E2" w14:textId="36E51ADB" w:rsidR="000D1815" w:rsidRDefault="003A2BFC" w:rsidP="003A2BFC">
      <w:pPr>
        <w:pStyle w:val="Paragraphedeliste"/>
        <w:numPr>
          <w:ilvl w:val="0"/>
          <w:numId w:val="26"/>
        </w:numPr>
        <w:jc w:val="both"/>
      </w:pPr>
      <w:r>
        <w:t>Mettre à disposition de l’établissement les cartons nécessaires, c</w:t>
      </w:r>
      <w:r w:rsidR="00564004" w:rsidRPr="00B90505">
        <w:t xml:space="preserve">ollecter les médicaments non utilisés </w:t>
      </w:r>
      <w:r w:rsidR="00F3461D">
        <w:t>retournés par l’établissement</w:t>
      </w:r>
      <w:r w:rsidR="00564004" w:rsidRPr="00B90505">
        <w:t>, et en assurer l’élimi</w:t>
      </w:r>
      <w:r>
        <w:t>nation selon la règlementation applicable aux MNU via le circuit CYCLAMED. Les résidus de médicaments stupéfiants sont remis en main propre au personnel délégué de l’officine dans une caisse fermée, avec un bon précisant les médicaments concernés à la fraction d’unité de prise près.</w:t>
      </w:r>
    </w:p>
    <w:p w14:paraId="15EE4F24" w14:textId="77777777" w:rsidR="00AA2272" w:rsidRDefault="00AA2272" w:rsidP="00AA2272">
      <w:pPr>
        <w:pStyle w:val="Paragraphedeliste"/>
        <w:jc w:val="both"/>
      </w:pPr>
    </w:p>
    <w:p w14:paraId="399C9ED8" w14:textId="07591ACB" w:rsidR="000D1815" w:rsidRDefault="00564004" w:rsidP="000E59A4">
      <w:pPr>
        <w:pStyle w:val="Paragraphedeliste"/>
        <w:numPr>
          <w:ilvl w:val="0"/>
          <w:numId w:val="26"/>
        </w:numPr>
        <w:jc w:val="both"/>
      </w:pPr>
      <w:r w:rsidRPr="00B90505">
        <w:t>Informer l’établissement en cas de changement de titulaire.</w:t>
      </w:r>
    </w:p>
    <w:p w14:paraId="0065A203" w14:textId="77777777" w:rsidR="00AA2272" w:rsidRDefault="00AA2272" w:rsidP="00AA2272">
      <w:pPr>
        <w:pStyle w:val="Paragraphedeliste"/>
        <w:jc w:val="both"/>
      </w:pPr>
    </w:p>
    <w:p w14:paraId="7C2AF98C" w14:textId="323A23B1" w:rsidR="000D1815" w:rsidRDefault="00F3461D" w:rsidP="000D1815">
      <w:pPr>
        <w:pStyle w:val="Paragraphedeliste"/>
        <w:numPr>
          <w:ilvl w:val="0"/>
          <w:numId w:val="26"/>
        </w:numPr>
        <w:jc w:val="both"/>
      </w:pPr>
      <w:r>
        <w:t>S</w:t>
      </w:r>
      <w:r w:rsidR="00564004" w:rsidRPr="00B90505">
        <w:t xml:space="preserve">ignaler tout évènement indésirable en lien avec le circuit du médicament via le </w:t>
      </w:r>
      <w:r w:rsidR="00AC6EE8">
        <w:t>système d’information (</w:t>
      </w:r>
      <w:r w:rsidR="00AC6EE8" w:rsidRPr="00AC6EE8">
        <w:rPr>
          <w:highlight w:val="lightGray"/>
        </w:rPr>
        <w:t>à préciser</w:t>
      </w:r>
      <w:r w:rsidR="00AC6EE8">
        <w:t>)</w:t>
      </w:r>
    </w:p>
    <w:p w14:paraId="152D566C" w14:textId="77777777" w:rsidR="00AA2272" w:rsidRDefault="00AA2272" w:rsidP="00AA2272">
      <w:pPr>
        <w:pStyle w:val="Paragraphedeliste"/>
        <w:jc w:val="both"/>
      </w:pPr>
    </w:p>
    <w:p w14:paraId="38B9A017" w14:textId="2496D61D" w:rsidR="00072414" w:rsidRDefault="000D1815" w:rsidP="00072414">
      <w:pPr>
        <w:pStyle w:val="Paragraphedeliste"/>
        <w:numPr>
          <w:ilvl w:val="0"/>
          <w:numId w:val="26"/>
        </w:numPr>
        <w:jc w:val="both"/>
      </w:pPr>
      <w:r w:rsidRPr="00B90505">
        <w:t>Participer aux actions de pharma</w:t>
      </w:r>
      <w:r w:rsidR="003A2BFC">
        <w:t xml:space="preserve">covigilance / matériovigilance et </w:t>
      </w:r>
      <w:r w:rsidRPr="00B90505">
        <w:t>faire le suivi des alertes ANSM (rappel des produits délivrés le cas échéant) ;</w:t>
      </w:r>
      <w:r w:rsidR="00154626">
        <w:t xml:space="preserve"> Le circuit d’alertes ainsi que l’accusé de réception / actions mises en œuvre devront être définis</w:t>
      </w:r>
    </w:p>
    <w:p w14:paraId="0D6F65CE" w14:textId="77777777" w:rsidR="00AA2272" w:rsidRDefault="00AA2272" w:rsidP="00AA2272">
      <w:pPr>
        <w:pStyle w:val="Paragraphedeliste"/>
        <w:jc w:val="both"/>
      </w:pPr>
    </w:p>
    <w:p w14:paraId="5D92F977" w14:textId="48585018" w:rsidR="00072414" w:rsidRDefault="00072414" w:rsidP="00072414">
      <w:pPr>
        <w:pStyle w:val="Paragraphedeliste"/>
        <w:numPr>
          <w:ilvl w:val="0"/>
          <w:numId w:val="26"/>
        </w:numPr>
        <w:jc w:val="both"/>
      </w:pPr>
      <w:r>
        <w:t xml:space="preserve">Participer aux </w:t>
      </w:r>
      <w:r w:rsidRPr="00B90505">
        <w:t xml:space="preserve">réunions de coordination et/ou en réunion </w:t>
      </w:r>
      <w:r>
        <w:t>d'équipe sur la prise en charge médicamenteuse</w:t>
      </w:r>
    </w:p>
    <w:p w14:paraId="7F058028" w14:textId="77777777" w:rsidR="00AA2272" w:rsidRDefault="00AA2272" w:rsidP="00AA2272">
      <w:pPr>
        <w:pStyle w:val="Paragraphedeliste"/>
        <w:jc w:val="both"/>
      </w:pPr>
    </w:p>
    <w:p w14:paraId="0B35809C" w14:textId="4897D896" w:rsidR="003A2BFC" w:rsidRDefault="00072414" w:rsidP="00154626">
      <w:pPr>
        <w:pStyle w:val="Paragraphedeliste"/>
        <w:numPr>
          <w:ilvl w:val="0"/>
          <w:numId w:val="26"/>
        </w:numPr>
        <w:jc w:val="both"/>
      </w:pPr>
      <w:r>
        <w:t xml:space="preserve">Réaliser une visite </w:t>
      </w:r>
      <w:r w:rsidR="003B690D">
        <w:t xml:space="preserve">annuelle </w:t>
      </w:r>
      <w:r>
        <w:t xml:space="preserve">pour s’assurer de la conformité des </w:t>
      </w:r>
      <w:r w:rsidR="00154626">
        <w:t xml:space="preserve">conditions de </w:t>
      </w:r>
      <w:r>
        <w:t>stockages</w:t>
      </w:r>
      <w:r w:rsidR="0078504E">
        <w:t xml:space="preserve"> et prodiguer des conseils d’amélioration.</w:t>
      </w:r>
    </w:p>
    <w:p w14:paraId="5C454778" w14:textId="77777777" w:rsidR="00B816B4" w:rsidRDefault="00B816B4" w:rsidP="00B816B4">
      <w:pPr>
        <w:pStyle w:val="Paragraphedeliste"/>
      </w:pPr>
    </w:p>
    <w:p w14:paraId="7C121D7E" w14:textId="6BFBCE97" w:rsidR="00564004" w:rsidRPr="0008740F" w:rsidRDefault="00564004" w:rsidP="0008740F">
      <w:pPr>
        <w:pStyle w:val="Titre1"/>
      </w:pPr>
      <w:bookmarkStart w:id="7" w:name="_Toc144941756"/>
      <w:r w:rsidRPr="0008740F">
        <w:t>ARTICLE 3 : MESURES RELATIVES A LA PREPARATION DES TRAITEMENTS</w:t>
      </w:r>
      <w:bookmarkEnd w:id="7"/>
      <w:r w:rsidR="00265143">
        <w:t xml:space="preserve"> / PREPARATION DES DOSES A ADMINISTRER (PDA)</w:t>
      </w:r>
    </w:p>
    <w:p w14:paraId="14A3E412" w14:textId="77777777" w:rsidR="00005B84" w:rsidRDefault="00005B84" w:rsidP="00005B84">
      <w:pPr>
        <w:jc w:val="both"/>
      </w:pPr>
      <w:r w:rsidRPr="00B90505">
        <w:t>L’</w:t>
      </w:r>
      <w:r>
        <w:t>établissement</w:t>
      </w:r>
      <w:r w:rsidRPr="00B90505">
        <w:t xml:space="preserve"> prend en charge des résidents avec des niveaux d’autonomie différents concernant la gestion de leur traitement.</w:t>
      </w:r>
      <w:r>
        <w:t xml:space="preserve"> </w:t>
      </w:r>
    </w:p>
    <w:p w14:paraId="0E9522B0" w14:textId="40CCF040" w:rsidR="00002372" w:rsidRPr="00002372" w:rsidRDefault="00002372" w:rsidP="00002372">
      <w:pPr>
        <w:jc w:val="both"/>
      </w:pPr>
      <w:r>
        <w:t>Conformément à l’</w:t>
      </w:r>
      <w:hyperlink r:id="rId17" w:history="1">
        <w:r>
          <w:rPr>
            <w:rStyle w:val="Lienhypertexte"/>
          </w:rPr>
          <w:t>Article R4235-48 du Code de la Santé Publique</w:t>
        </w:r>
      </w:hyperlink>
      <w:r>
        <w:rPr>
          <w:color w:val="1F497D"/>
        </w:rPr>
        <w:t xml:space="preserve">, </w:t>
      </w:r>
      <w:r>
        <w:t>l</w:t>
      </w:r>
      <w:r w:rsidRPr="00002372">
        <w:t>e pharmacien doit assurer dans son intégralité l'acte de dispensation du médicame</w:t>
      </w:r>
      <w:r>
        <w:t>nt, associant à sa délivrance :</w:t>
      </w:r>
    </w:p>
    <w:p w14:paraId="3015EFE6" w14:textId="16E83F74" w:rsidR="00002372" w:rsidRPr="00002372" w:rsidRDefault="00002372" w:rsidP="00002372">
      <w:pPr>
        <w:jc w:val="both"/>
      </w:pPr>
      <w:r w:rsidRPr="00002372">
        <w:t>1° L'analyse pharmaceutique de l'ordonnance médicale si el</w:t>
      </w:r>
      <w:r>
        <w:t>le existe ;</w:t>
      </w:r>
    </w:p>
    <w:p w14:paraId="40A59A6A" w14:textId="5F2F4107" w:rsidR="00002372" w:rsidRPr="00002372" w:rsidRDefault="00002372" w:rsidP="00002372">
      <w:pPr>
        <w:jc w:val="both"/>
      </w:pPr>
      <w:r w:rsidRPr="00002372">
        <w:t>2° La préparation évent</w:t>
      </w:r>
      <w:r>
        <w:t>uelle des doses à administrer ;</w:t>
      </w:r>
    </w:p>
    <w:p w14:paraId="1EE16713" w14:textId="77777777" w:rsidR="00002372" w:rsidRDefault="00002372" w:rsidP="00002372">
      <w:pPr>
        <w:jc w:val="both"/>
      </w:pPr>
      <w:r w:rsidRPr="00002372">
        <w:t>3° La mise à disposition des informations et les conseils nécessaires au bon usage du médicament.</w:t>
      </w:r>
    </w:p>
    <w:p w14:paraId="6019B13B" w14:textId="72215827" w:rsidR="00B90505" w:rsidRDefault="00005B84" w:rsidP="00002372">
      <w:pPr>
        <w:jc w:val="both"/>
      </w:pPr>
      <w:r w:rsidRPr="00B90505">
        <w:t>Le pharmacien d'officine titulaire s'engage à fournir le traitement d'un nouveau patient le jour de son admission (dans les horaires d’ouverture de l’officine).</w:t>
      </w:r>
      <w:r w:rsidR="00002372">
        <w:t xml:space="preserve"> </w:t>
      </w:r>
      <w:r>
        <w:t>S</w:t>
      </w:r>
      <w:r w:rsidR="00B90505" w:rsidRPr="00B90505">
        <w:t xml:space="preserve">i le patient nécessite la préparation d'un pilulier, le pharmacien s'engage à fournir à l'établissement le traitement nécessaire à la prise journalière le temps de la préparation du pilulier par l'officine. </w:t>
      </w:r>
    </w:p>
    <w:p w14:paraId="21B05208" w14:textId="4FEFEFE3" w:rsidR="00B90505" w:rsidRPr="00B90505" w:rsidRDefault="0006751B" w:rsidP="00B90505">
      <w:pPr>
        <w:jc w:val="both"/>
      </w:pPr>
      <w:r w:rsidRPr="0006751B">
        <w:t>L</w:t>
      </w:r>
      <w:r w:rsidR="00C759EF">
        <w:t xml:space="preserve">a préparation en pilulier permet de lutter contre les risques iatrogènes, de faciliter la compréhension, l’administration, l’observance et l’évaluation du traitement, ainsi que d'éliminer les résidus en toute sécurité. </w:t>
      </w:r>
      <w:r w:rsidR="00B90505" w:rsidRPr="00B90505">
        <w:t xml:space="preserve">La </w:t>
      </w:r>
      <w:r w:rsidR="001135C8">
        <w:t>préparation des doses à administrer (</w:t>
      </w:r>
      <w:r w:rsidR="00B90505" w:rsidRPr="00B90505">
        <w:t>PDA</w:t>
      </w:r>
      <w:r w:rsidR="001135C8">
        <w:t>) est accompli</w:t>
      </w:r>
      <w:r w:rsidR="00C759EF">
        <w:t>e</w:t>
      </w:r>
      <w:r w:rsidR="001135C8">
        <w:t xml:space="preserve"> par le personnel pharmaceutique dans des locaux conformes aux bonnes pratiques applicables. Elle</w:t>
      </w:r>
      <w:r w:rsidR="00B90505" w:rsidRPr="00B90505">
        <w:t xml:space="preserve"> doit permettre à tout médicament per os </w:t>
      </w:r>
      <w:r w:rsidR="004D6C0F">
        <w:t xml:space="preserve">(formes orales sèches : comprimés et gélules) </w:t>
      </w:r>
      <w:r w:rsidR="00B90505" w:rsidRPr="00B90505">
        <w:t>de rester identifiable jusqu’à l’étape de l’administration, en nécessitant notamment :</w:t>
      </w:r>
    </w:p>
    <w:p w14:paraId="0447B39C" w14:textId="77777777" w:rsidR="00B90505" w:rsidRPr="00B90505" w:rsidRDefault="00B90505" w:rsidP="00B90505">
      <w:pPr>
        <w:pStyle w:val="Paragraphedeliste"/>
        <w:numPr>
          <w:ilvl w:val="0"/>
          <w:numId w:val="23"/>
        </w:numPr>
        <w:jc w:val="both"/>
      </w:pPr>
      <w:r w:rsidRPr="00B90505">
        <w:lastRenderedPageBreak/>
        <w:t>Un pilulier hebdomadaire comprenant 4 cases (matin, midi, soir, coucher) par jour</w:t>
      </w:r>
    </w:p>
    <w:p w14:paraId="4DC20BB6" w14:textId="77777777" w:rsidR="00B90505" w:rsidRPr="00B90505" w:rsidRDefault="00B90505" w:rsidP="00B90505">
      <w:pPr>
        <w:pStyle w:val="Paragraphedeliste"/>
        <w:numPr>
          <w:ilvl w:val="0"/>
          <w:numId w:val="23"/>
        </w:numPr>
        <w:jc w:val="both"/>
      </w:pPr>
      <w:r w:rsidRPr="00B90505">
        <w:t xml:space="preserve">L'identification du patient (Nom / Prénom / Date de naissance) </w:t>
      </w:r>
    </w:p>
    <w:p w14:paraId="28482D1F" w14:textId="7C6A8D15" w:rsidR="00B90505" w:rsidRPr="00B90505" w:rsidRDefault="00B90505" w:rsidP="00B90505">
      <w:pPr>
        <w:pStyle w:val="Paragraphedeliste"/>
        <w:numPr>
          <w:ilvl w:val="0"/>
          <w:numId w:val="23"/>
        </w:numPr>
        <w:jc w:val="both"/>
      </w:pPr>
      <w:r w:rsidRPr="00B90505">
        <w:t>L'identification du traitement non dé</w:t>
      </w:r>
      <w:r>
        <w:t>-</w:t>
      </w:r>
      <w:r w:rsidR="00D261E1">
        <w:t>blistérisé (l</w:t>
      </w:r>
      <w:r w:rsidRPr="00B90505">
        <w:t xml:space="preserve">'identification de la spécialité maintenue dans son conditionnement primaire jusqu’à l’administration : DCI / dosage / </w:t>
      </w:r>
      <w:r w:rsidR="00D261E1">
        <w:t>n° de lot / date de péremption)</w:t>
      </w:r>
      <w:r w:rsidRPr="00B90505">
        <w:t xml:space="preserve"> </w:t>
      </w:r>
    </w:p>
    <w:p w14:paraId="0116E994" w14:textId="77777777" w:rsidR="00B90505" w:rsidRPr="00B90505" w:rsidRDefault="00B90505" w:rsidP="00B90505">
      <w:pPr>
        <w:pStyle w:val="Paragraphedeliste"/>
        <w:numPr>
          <w:ilvl w:val="0"/>
          <w:numId w:val="23"/>
        </w:numPr>
        <w:jc w:val="both"/>
      </w:pPr>
      <w:r w:rsidRPr="00B90505">
        <w:t xml:space="preserve">De privilégier les présentations en doses unitaires identifiables (industrielles ou à défaut reconditionnées par l’officine) </w:t>
      </w:r>
    </w:p>
    <w:p w14:paraId="670B74DB" w14:textId="78EA59B9" w:rsidR="00B90505" w:rsidRPr="00B90505" w:rsidRDefault="00B90505" w:rsidP="00B90505">
      <w:pPr>
        <w:pStyle w:val="Paragraphedeliste"/>
        <w:numPr>
          <w:ilvl w:val="0"/>
          <w:numId w:val="23"/>
        </w:numPr>
        <w:jc w:val="both"/>
      </w:pPr>
      <w:r w:rsidRPr="00B90505">
        <w:t>De privilégier les formes orales industrielles qui offrent le dosage adapté</w:t>
      </w:r>
      <w:r w:rsidR="00C540CB">
        <w:t> ; e</w:t>
      </w:r>
      <w:r w:rsidR="00C540CB" w:rsidRPr="00FF5E99">
        <w:t xml:space="preserve">n cas de ½ </w:t>
      </w:r>
      <w:r w:rsidR="00FF5E99" w:rsidRPr="00FF5E99">
        <w:t>doses ou ¼ de doses (formes sécables)</w:t>
      </w:r>
      <w:r w:rsidR="00C540CB" w:rsidRPr="00FF5E99">
        <w:t>, les modalités de</w:t>
      </w:r>
      <w:r w:rsidR="00FF5E99" w:rsidRPr="00FF5E99">
        <w:t xml:space="preserve"> préparation devront être décrites</w:t>
      </w:r>
    </w:p>
    <w:p w14:paraId="3D8EE833" w14:textId="107D2354" w:rsidR="00B90505" w:rsidRPr="00B90505" w:rsidRDefault="00B90505" w:rsidP="00B90505">
      <w:pPr>
        <w:pStyle w:val="Paragraphedeliste"/>
        <w:numPr>
          <w:ilvl w:val="0"/>
          <w:numId w:val="23"/>
        </w:numPr>
        <w:jc w:val="both"/>
      </w:pPr>
      <w:r w:rsidRPr="00B90505">
        <w:t>De maintenir le conditionnement primaire : ne pas dé</w:t>
      </w:r>
      <w:r>
        <w:t>-</w:t>
      </w:r>
      <w:r w:rsidRPr="00B90505">
        <w:t xml:space="preserve">blistériser </w:t>
      </w:r>
    </w:p>
    <w:p w14:paraId="2E6ECE63" w14:textId="77777777" w:rsidR="00B90505" w:rsidRPr="00B90505" w:rsidRDefault="00B90505" w:rsidP="00B90505">
      <w:pPr>
        <w:pStyle w:val="Paragraphedeliste"/>
        <w:numPr>
          <w:ilvl w:val="0"/>
          <w:numId w:val="23"/>
        </w:numPr>
        <w:jc w:val="both"/>
      </w:pPr>
      <w:r w:rsidRPr="00B90505">
        <w:t xml:space="preserve">De sur-étiqueter les blisters non unitaires, avant découpage. La sur-étiquette doit mentionner au minimum le nom du médicament en DCI, le dosage, la date de péremption et le numéro de lot </w:t>
      </w:r>
    </w:p>
    <w:p w14:paraId="6BF067FB" w14:textId="45A6EC9B" w:rsidR="00B90505" w:rsidRPr="00B90505" w:rsidRDefault="00B90505" w:rsidP="00B90505">
      <w:pPr>
        <w:pStyle w:val="Paragraphedeliste"/>
        <w:numPr>
          <w:ilvl w:val="0"/>
          <w:numId w:val="23"/>
        </w:numPr>
        <w:jc w:val="both"/>
      </w:pPr>
      <w:r w:rsidRPr="00B90505">
        <w:t>En cas de modification du traitement ou d'ajout en cours de pilulier, l'officine s'engage à fournir le traitement avec sur</w:t>
      </w:r>
      <w:r>
        <w:t>-</w:t>
      </w:r>
      <w:r w:rsidRPr="00B90505">
        <w:t>étiquetage nécessaire permettant à l'</w:t>
      </w:r>
      <w:r w:rsidR="00072414">
        <w:t>établissement</w:t>
      </w:r>
      <w:r w:rsidRPr="00B90505">
        <w:t xml:space="preserve"> de compléter le pilulier en cours.</w:t>
      </w:r>
    </w:p>
    <w:p w14:paraId="00D1F4FC" w14:textId="77777777" w:rsidR="00B90505" w:rsidRPr="00B90505" w:rsidRDefault="00B90505" w:rsidP="00B90505">
      <w:pPr>
        <w:pStyle w:val="Paragraphedeliste"/>
        <w:numPr>
          <w:ilvl w:val="0"/>
          <w:numId w:val="23"/>
        </w:numPr>
        <w:jc w:val="both"/>
      </w:pPr>
      <w:r w:rsidRPr="00B90505">
        <w:t>Les médicaments hors piluliers doivent être mentionnés (couleur différente) sur le pilulier avec notification de l’horaire de prise et livré sous sachet opaque scellé avec identification du patient et dont la fermeture est telle que le destinataire puisse s'assurer qu'il n'a pas pu être ouvert par un tiers</w:t>
      </w:r>
    </w:p>
    <w:p w14:paraId="11B01123" w14:textId="5DB9236F" w:rsidR="00B90505" w:rsidRDefault="00B90505" w:rsidP="00B90505">
      <w:pPr>
        <w:pStyle w:val="Paragraphedeliste"/>
        <w:numPr>
          <w:ilvl w:val="0"/>
          <w:numId w:val="23"/>
        </w:numPr>
        <w:jc w:val="both"/>
      </w:pPr>
      <w:r w:rsidRPr="00B90505">
        <w:t>Les traitements si besoin ne sont pas intégrés au pilulier et seront délivrés sur demande de l'</w:t>
      </w:r>
      <w:r>
        <w:t>établissement</w:t>
      </w:r>
      <w:r w:rsidRPr="00B90505">
        <w:t>.</w:t>
      </w:r>
    </w:p>
    <w:p w14:paraId="51012408" w14:textId="4A477361" w:rsidR="00072414" w:rsidRDefault="00072414" w:rsidP="00072414">
      <w:pPr>
        <w:ind w:left="360"/>
        <w:jc w:val="both"/>
      </w:pPr>
      <w:r>
        <w:t>La technique, le matériel ainsi que la procédure relative à la préparation des doses à administrer seront annexées à la présente convention.</w:t>
      </w:r>
    </w:p>
    <w:p w14:paraId="6A80C4FD" w14:textId="77777777" w:rsidR="0078504E" w:rsidRDefault="00730134" w:rsidP="0058065C">
      <w:pPr>
        <w:ind w:left="360"/>
        <w:jc w:val="both"/>
      </w:pPr>
      <w:r>
        <w:t xml:space="preserve">Pour la </w:t>
      </w:r>
      <w:r w:rsidR="00000D17">
        <w:t>PDA</w:t>
      </w:r>
      <w:r>
        <w:t>,</w:t>
      </w:r>
      <w:r w:rsidR="002C2ACD">
        <w:t xml:space="preserve"> le pharmacien doit disposer de l’accès au logiciel </w:t>
      </w:r>
      <w:r w:rsidR="00805018">
        <w:t xml:space="preserve">d’aide à la prescription </w:t>
      </w:r>
      <w:r w:rsidR="002C2ACD">
        <w:t xml:space="preserve">de l’établissement pour validation des traitements, chargement automatique dans le logiciel de PDA et changement des traitements tracés. </w:t>
      </w:r>
    </w:p>
    <w:p w14:paraId="4EC79A9C" w14:textId="41621307" w:rsidR="0058065C" w:rsidRDefault="00B90505" w:rsidP="0058065C">
      <w:pPr>
        <w:ind w:left="360"/>
        <w:jc w:val="both"/>
      </w:pPr>
      <w:r w:rsidRPr="00E8300C">
        <w:t>La pharmacie s’assure de la conformité entre le nombre de résidents et le nombre de piluliers préparés pour éviter tout oubli.</w:t>
      </w:r>
      <w:r>
        <w:t xml:space="preserve"> La pharmacie s’assure de l’exhaustivité des traitements préparés.</w:t>
      </w:r>
    </w:p>
    <w:p w14:paraId="684392F7" w14:textId="131F2C36" w:rsidR="00B36EFF" w:rsidRDefault="00B36EFF" w:rsidP="00B36EFF">
      <w:pPr>
        <w:ind w:left="360"/>
        <w:jc w:val="both"/>
      </w:pPr>
      <w:r>
        <w:t xml:space="preserve">Une rémunération de la pharmacie pour la réalisation de tous les actes nécessaires à la sécurisation du circuit du médicament, à la gestion des consommables et à la livraison </w:t>
      </w:r>
      <w:r>
        <w:t>sera</w:t>
      </w:r>
      <w:r>
        <w:t xml:space="preserve"> négociée entre les deux parties</w:t>
      </w:r>
      <w:r>
        <w:t xml:space="preserve"> afin de valoriser l’activité pharmaceutique</w:t>
      </w:r>
      <w:r>
        <w:t>.</w:t>
      </w:r>
    </w:p>
    <w:p w14:paraId="703C585F" w14:textId="5C7ADE49" w:rsidR="005D3F98" w:rsidRPr="00007591" w:rsidRDefault="005D3F98" w:rsidP="00007591">
      <w:pPr>
        <w:ind w:left="360"/>
        <w:jc w:val="both"/>
      </w:pPr>
    </w:p>
    <w:p w14:paraId="27943DEE" w14:textId="1E938B89" w:rsidR="0008740F" w:rsidRPr="00B97A4D" w:rsidRDefault="0008740F" w:rsidP="00B97A4D">
      <w:pPr>
        <w:pStyle w:val="Titre1"/>
      </w:pPr>
      <w:bookmarkStart w:id="8" w:name="_Toc144941758"/>
      <w:r w:rsidRPr="00B97A4D">
        <w:t>ARTICLE 4 : MESURES RELATIVES AU TRANSPORT DES MEDICAMENTS</w:t>
      </w:r>
      <w:bookmarkEnd w:id="8"/>
    </w:p>
    <w:p w14:paraId="7D189F36" w14:textId="2BEFD78B" w:rsidR="0008740F" w:rsidRDefault="0008740F" w:rsidP="00B97A4D">
      <w:pPr>
        <w:pStyle w:val="Paragraphedeliste"/>
        <w:numPr>
          <w:ilvl w:val="0"/>
          <w:numId w:val="25"/>
        </w:numPr>
        <w:jc w:val="both"/>
      </w:pPr>
      <w:r w:rsidRPr="00B97A4D">
        <w:t>Conformément à l’article R.5125-52 du CSP, « </w:t>
      </w:r>
      <w:r w:rsidRPr="00B97A4D">
        <w:rPr>
          <w:i/>
        </w:rPr>
        <w:t>Les médicaments, produits ou objets mentionnés à l'article L. 4211-1 sont transportés par le pharmacien qui assure la dispensation à domicile dans des conditions garantissant leur parfaite conservation.</w:t>
      </w:r>
      <w:r w:rsidRPr="00B97A4D">
        <w:t xml:space="preserve"> » </w:t>
      </w:r>
    </w:p>
    <w:p w14:paraId="2B2CC78A" w14:textId="77777777" w:rsidR="00AA2272" w:rsidRPr="00B97A4D" w:rsidRDefault="00AA2272" w:rsidP="00AA2272">
      <w:pPr>
        <w:pStyle w:val="Paragraphedeliste"/>
        <w:jc w:val="both"/>
      </w:pPr>
    </w:p>
    <w:p w14:paraId="2B94F6ED" w14:textId="301A0415" w:rsidR="00AA2272" w:rsidRPr="00B97A4D" w:rsidRDefault="0008740F" w:rsidP="00AA2272">
      <w:pPr>
        <w:pStyle w:val="Paragraphedeliste"/>
        <w:numPr>
          <w:ilvl w:val="0"/>
          <w:numId w:val="25"/>
        </w:numPr>
        <w:jc w:val="both"/>
      </w:pPr>
      <w:r w:rsidRPr="00B97A4D">
        <w:t>Conformément à l’article R5125-47 du CSP, le transport des traitements doit se faire «</w:t>
      </w:r>
      <w:r w:rsidRPr="00B97A4D">
        <w:rPr>
          <w:i/>
        </w:rPr>
        <w:t> dans un paquet scellé opaque au nom d’un seul patient dont la fermeture est telle que le destinataire puisse s’assurer qu’il n’a pas pu être ouvert par un tiers </w:t>
      </w:r>
      <w:r w:rsidRPr="00B97A4D">
        <w:t xml:space="preserve">» </w:t>
      </w:r>
    </w:p>
    <w:p w14:paraId="437D4789" w14:textId="77777777" w:rsidR="00AA2272" w:rsidRDefault="00AA2272" w:rsidP="00AA2272">
      <w:pPr>
        <w:pStyle w:val="Paragraphedeliste"/>
        <w:jc w:val="both"/>
      </w:pPr>
    </w:p>
    <w:p w14:paraId="35C26FF9" w14:textId="352FDF52" w:rsidR="0008740F" w:rsidRPr="00AA2272" w:rsidRDefault="0008740F" w:rsidP="00AA2272">
      <w:pPr>
        <w:pStyle w:val="Paragraphedeliste"/>
        <w:numPr>
          <w:ilvl w:val="0"/>
          <w:numId w:val="25"/>
        </w:numPr>
        <w:jc w:val="both"/>
      </w:pPr>
      <w:r w:rsidRPr="00B97A4D">
        <w:t>Conformément à l’article R5125-48 du CSP « </w:t>
      </w:r>
      <w:r w:rsidRPr="00B97A4D">
        <w:rPr>
          <w:i/>
        </w:rPr>
        <w:t>le pharmacien veille à ce que les conditions de transport soient compatibles avec la bonne conservation des médicaments</w:t>
      </w:r>
      <w:r w:rsidR="00B97A4D" w:rsidRPr="00B97A4D">
        <w:rPr>
          <w:i/>
        </w:rPr>
        <w:t xml:space="preserve"> (chaîne du froid)</w:t>
      </w:r>
      <w:r w:rsidRPr="00B97A4D">
        <w:rPr>
          <w:i/>
        </w:rPr>
        <w:t>, produits ou objets mentionnés à l’article L.42.11-1</w:t>
      </w:r>
      <w:r w:rsidRPr="00B97A4D">
        <w:t> »</w:t>
      </w:r>
    </w:p>
    <w:p w14:paraId="7F4E6F48" w14:textId="77777777" w:rsidR="0008740F" w:rsidRPr="00B97A4D" w:rsidRDefault="0008740F" w:rsidP="0008740F">
      <w:pPr>
        <w:spacing w:after="0" w:line="276" w:lineRule="auto"/>
        <w:jc w:val="both"/>
        <w:rPr>
          <w:rFonts w:cstheme="minorHAnsi"/>
          <w:i/>
          <w:iCs/>
          <w:u w:val="single"/>
        </w:rPr>
      </w:pPr>
      <w:r w:rsidRPr="00B97A4D">
        <w:rPr>
          <w:rFonts w:cstheme="minorHAnsi"/>
          <w:u w:val="single"/>
        </w:rPr>
        <w:t>En résumé : l’officine doit :</w:t>
      </w:r>
    </w:p>
    <w:p w14:paraId="7F101676" w14:textId="3A19903F" w:rsidR="0008740F" w:rsidRPr="00B97A4D" w:rsidRDefault="0008740F" w:rsidP="0008740F">
      <w:pPr>
        <w:pStyle w:val="Paragraphedeliste"/>
        <w:numPr>
          <w:ilvl w:val="0"/>
          <w:numId w:val="24"/>
        </w:numPr>
        <w:suppressAutoHyphens/>
        <w:autoSpaceDN w:val="0"/>
        <w:spacing w:after="0" w:line="276" w:lineRule="auto"/>
        <w:ind w:left="567"/>
        <w:contextualSpacing w:val="0"/>
        <w:jc w:val="both"/>
        <w:textAlignment w:val="baseline"/>
        <w:rPr>
          <w:rFonts w:cstheme="minorHAnsi"/>
        </w:rPr>
      </w:pPr>
      <w:r w:rsidRPr="00B97A4D">
        <w:rPr>
          <w:rFonts w:cstheme="minorHAnsi"/>
        </w:rPr>
        <w:t>Assurer le transport sécurisé des traitements des patients de l'</w:t>
      </w:r>
      <w:r w:rsidR="00B97A4D" w:rsidRPr="00B97A4D">
        <w:rPr>
          <w:rFonts w:cstheme="minorHAnsi"/>
        </w:rPr>
        <w:t xml:space="preserve">établissement </w:t>
      </w:r>
      <w:r w:rsidRPr="00B97A4D">
        <w:rPr>
          <w:rFonts w:cstheme="minorHAnsi"/>
        </w:rPr>
        <w:t xml:space="preserve">à l’adresse suivante : </w:t>
      </w:r>
    </w:p>
    <w:p w14:paraId="2A1E2581" w14:textId="2033D359" w:rsidR="0008740F" w:rsidRDefault="00AC6EE8" w:rsidP="00AC6EE8">
      <w:pPr>
        <w:pStyle w:val="Paragraphedeliste"/>
        <w:spacing w:after="0" w:line="276" w:lineRule="auto"/>
        <w:ind w:left="1416"/>
        <w:rPr>
          <w:rFonts w:cstheme="minorHAnsi"/>
        </w:rPr>
      </w:pPr>
      <w:r>
        <w:rPr>
          <w:rFonts w:cstheme="minorHAnsi"/>
        </w:rPr>
        <w:lastRenderedPageBreak/>
        <w:t>Etablissement :</w:t>
      </w:r>
      <w:r w:rsidRPr="00B97A4D">
        <w:rPr>
          <w:rFonts w:cstheme="minorHAnsi"/>
        </w:rPr>
        <w:t xml:space="preserve"> …</w:t>
      </w:r>
      <w:r w:rsidR="00B97A4D" w:rsidRPr="00B97A4D">
        <w:rPr>
          <w:rFonts w:cstheme="minorHAnsi"/>
        </w:rPr>
        <w:t>……………………………………………………………………</w:t>
      </w:r>
      <w:r w:rsidRPr="00B97A4D">
        <w:rPr>
          <w:rFonts w:cstheme="minorHAnsi"/>
        </w:rPr>
        <w:t>……</w:t>
      </w:r>
      <w:r w:rsidR="00B97A4D" w:rsidRPr="00B97A4D">
        <w:rPr>
          <w:rFonts w:cstheme="minorHAnsi"/>
        </w:rPr>
        <w:t>…</w:t>
      </w:r>
    </w:p>
    <w:p w14:paraId="63F56C7B" w14:textId="07BCE91D" w:rsidR="00AC6EE8" w:rsidRPr="00B97A4D" w:rsidRDefault="00AC6EE8" w:rsidP="00AC6EE8">
      <w:pPr>
        <w:pStyle w:val="Paragraphedeliste"/>
        <w:spacing w:after="0" w:line="276" w:lineRule="auto"/>
        <w:ind w:left="1416"/>
        <w:rPr>
          <w:rFonts w:cstheme="minorHAnsi"/>
        </w:rPr>
      </w:pPr>
      <w:r>
        <w:rPr>
          <w:rFonts w:cstheme="minorHAnsi"/>
        </w:rPr>
        <w:t xml:space="preserve">Adresse : </w:t>
      </w:r>
      <w:r w:rsidRPr="00B97A4D">
        <w:rPr>
          <w:rFonts w:cstheme="minorHAnsi"/>
        </w:rPr>
        <w:t>………………………………………………………………………………</w:t>
      </w:r>
      <w:r>
        <w:rPr>
          <w:rFonts w:cstheme="minorHAnsi"/>
        </w:rPr>
        <w:t>…………</w:t>
      </w:r>
    </w:p>
    <w:p w14:paraId="2AF90FEE" w14:textId="4A1B9FD8" w:rsidR="00B97A4D" w:rsidRPr="00B97A4D" w:rsidRDefault="00AC6EE8" w:rsidP="00AC6EE8">
      <w:pPr>
        <w:pStyle w:val="Paragraphedeliste"/>
        <w:spacing w:after="0" w:line="276" w:lineRule="auto"/>
        <w:ind w:left="1416"/>
        <w:rPr>
          <w:rFonts w:cstheme="minorHAnsi"/>
        </w:rPr>
      </w:pPr>
      <w:r>
        <w:rPr>
          <w:rFonts w:cstheme="minorHAnsi"/>
        </w:rPr>
        <w:t xml:space="preserve">Bâtiment / étage / n° de porte : </w:t>
      </w:r>
      <w:r w:rsidR="00B97A4D" w:rsidRPr="00B97A4D">
        <w:rPr>
          <w:rFonts w:cstheme="minorHAnsi"/>
        </w:rPr>
        <w:t>………………………………………………………………………………</w:t>
      </w:r>
    </w:p>
    <w:p w14:paraId="61919EF4" w14:textId="77777777" w:rsidR="0008740F" w:rsidRPr="00B97A4D" w:rsidRDefault="0008740F" w:rsidP="0008740F">
      <w:pPr>
        <w:pStyle w:val="Paragraphedeliste"/>
        <w:numPr>
          <w:ilvl w:val="0"/>
          <w:numId w:val="24"/>
        </w:numPr>
        <w:suppressAutoHyphens/>
        <w:autoSpaceDN w:val="0"/>
        <w:spacing w:after="0" w:line="276" w:lineRule="auto"/>
        <w:ind w:left="567"/>
        <w:contextualSpacing w:val="0"/>
        <w:jc w:val="both"/>
        <w:textAlignment w:val="baseline"/>
        <w:rPr>
          <w:rFonts w:cstheme="minorHAnsi"/>
        </w:rPr>
      </w:pPr>
      <w:r w:rsidRPr="00B97A4D">
        <w:rPr>
          <w:rFonts w:cstheme="minorHAnsi"/>
        </w:rPr>
        <w:t>Utiliser des sachets opaques nominatifs et scellés et dont la fermeture est telle que le destinataire puisse s'assurer qu'il n'a pas pu être ouvert par un tiers</w:t>
      </w:r>
    </w:p>
    <w:p w14:paraId="2A8BCF5B" w14:textId="77777777" w:rsidR="0008740F" w:rsidRPr="00B97A4D" w:rsidRDefault="0008740F" w:rsidP="0008740F">
      <w:pPr>
        <w:pStyle w:val="Paragraphedeliste"/>
        <w:numPr>
          <w:ilvl w:val="0"/>
          <w:numId w:val="24"/>
        </w:numPr>
        <w:suppressAutoHyphens/>
        <w:autoSpaceDN w:val="0"/>
        <w:spacing w:after="0" w:line="276" w:lineRule="auto"/>
        <w:ind w:left="567"/>
        <w:contextualSpacing w:val="0"/>
        <w:jc w:val="both"/>
        <w:textAlignment w:val="baseline"/>
        <w:rPr>
          <w:rFonts w:cstheme="minorHAnsi"/>
        </w:rPr>
      </w:pPr>
      <w:r w:rsidRPr="00B97A4D">
        <w:rPr>
          <w:rFonts w:cstheme="minorHAnsi"/>
        </w:rPr>
        <w:t xml:space="preserve">Assurer le transport des sachets scellés dans une caisse scellée identifiant le nombre de sachet contenus dans la caisse </w:t>
      </w:r>
    </w:p>
    <w:p w14:paraId="509EB24B" w14:textId="77777777" w:rsidR="0008740F" w:rsidRPr="00B97A4D" w:rsidRDefault="0008740F" w:rsidP="0008740F">
      <w:pPr>
        <w:pStyle w:val="Paragraphedeliste"/>
        <w:numPr>
          <w:ilvl w:val="0"/>
          <w:numId w:val="24"/>
        </w:numPr>
        <w:suppressAutoHyphens/>
        <w:autoSpaceDN w:val="0"/>
        <w:spacing w:after="0" w:line="276" w:lineRule="auto"/>
        <w:ind w:left="567"/>
        <w:contextualSpacing w:val="0"/>
        <w:jc w:val="both"/>
        <w:textAlignment w:val="baseline"/>
        <w:rPr>
          <w:rFonts w:cstheme="minorHAnsi"/>
        </w:rPr>
      </w:pPr>
      <w:r w:rsidRPr="00B97A4D">
        <w:rPr>
          <w:rFonts w:cstheme="minorHAnsi"/>
        </w:rPr>
        <w:t xml:space="preserve">Fournir dans la caisse scellée un document retraçant le contenu de chaque sachet pour chaque patient </w:t>
      </w:r>
    </w:p>
    <w:p w14:paraId="0F9F58E4" w14:textId="78F9B343" w:rsidR="003A2BFC" w:rsidRDefault="0008740F" w:rsidP="003A2BFC">
      <w:pPr>
        <w:pStyle w:val="Paragraphedeliste"/>
        <w:numPr>
          <w:ilvl w:val="0"/>
          <w:numId w:val="24"/>
        </w:numPr>
        <w:suppressAutoHyphens/>
        <w:autoSpaceDN w:val="0"/>
        <w:spacing w:after="0" w:line="276" w:lineRule="auto"/>
        <w:ind w:left="567"/>
        <w:contextualSpacing w:val="0"/>
        <w:jc w:val="both"/>
        <w:textAlignment w:val="baseline"/>
        <w:rPr>
          <w:rFonts w:cstheme="minorHAnsi"/>
        </w:rPr>
      </w:pPr>
      <w:r w:rsidRPr="00B97A4D">
        <w:rPr>
          <w:rFonts w:cstheme="minorHAnsi"/>
        </w:rPr>
        <w:t xml:space="preserve">Garantir et mettre en place les moyens </w:t>
      </w:r>
      <w:r w:rsidR="00B97A4D">
        <w:rPr>
          <w:rFonts w:cstheme="minorHAnsi"/>
        </w:rPr>
        <w:t>pour assurer</w:t>
      </w:r>
      <w:r w:rsidRPr="00B97A4D">
        <w:rPr>
          <w:rFonts w:cstheme="minorHAnsi"/>
        </w:rPr>
        <w:t xml:space="preserve"> le transport des médicaments thermosensibles selon les températures requise</w:t>
      </w:r>
      <w:r w:rsidR="00B97A4D">
        <w:rPr>
          <w:rFonts w:cstheme="minorHAnsi"/>
        </w:rPr>
        <w:t>s. Ces médicaments seront transportés dans des c</w:t>
      </w:r>
      <w:r w:rsidRPr="00B97A4D">
        <w:rPr>
          <w:rFonts w:cstheme="minorHAnsi"/>
        </w:rPr>
        <w:t>aisse</w:t>
      </w:r>
      <w:r w:rsidR="00B97A4D">
        <w:rPr>
          <w:rFonts w:cstheme="minorHAnsi"/>
        </w:rPr>
        <w:t>s identifiables afin de les prioriser lors du rangement à réception.</w:t>
      </w:r>
    </w:p>
    <w:p w14:paraId="1B948918" w14:textId="09982D3A" w:rsidR="003A2BFC" w:rsidRPr="003A2BFC" w:rsidRDefault="003A2BFC" w:rsidP="003A2BFC">
      <w:pPr>
        <w:pStyle w:val="Paragraphedeliste"/>
        <w:numPr>
          <w:ilvl w:val="0"/>
          <w:numId w:val="24"/>
        </w:numPr>
        <w:suppressAutoHyphens/>
        <w:autoSpaceDN w:val="0"/>
        <w:spacing w:after="0" w:line="276" w:lineRule="auto"/>
        <w:ind w:left="567"/>
        <w:contextualSpacing w:val="0"/>
        <w:jc w:val="both"/>
        <w:textAlignment w:val="baseline"/>
        <w:rPr>
          <w:rFonts w:cstheme="minorHAnsi"/>
        </w:rPr>
      </w:pPr>
      <w:r w:rsidRPr="00B97A4D">
        <w:t>Les médicaments stupéfiants sont transportés dans les sachets opaques et scellés nominativement dans des conditions permettant d'assurer la sécurité et le respect des règles applicables aux stupéfiants et apparentés.</w:t>
      </w:r>
      <w:r>
        <w:t xml:space="preserve"> Ils sont remis en main propre à l’IDE de l’établissement dans un contenant fermé nominatif. </w:t>
      </w:r>
      <w:r w:rsidRPr="00B97A4D">
        <w:t xml:space="preserve">L’établissement est en charge de mettre en place la sécurisation du stockage des stupéfiants. </w:t>
      </w:r>
    </w:p>
    <w:p w14:paraId="4DB0B2F6" w14:textId="77777777" w:rsidR="0008740F" w:rsidRPr="00B97A4D" w:rsidRDefault="0008740F" w:rsidP="0008740F">
      <w:pPr>
        <w:pStyle w:val="Default"/>
        <w:jc w:val="both"/>
        <w:rPr>
          <w:rFonts w:asciiTheme="minorHAnsi" w:hAnsiTheme="minorHAnsi" w:cstheme="minorHAnsi"/>
          <w:sz w:val="22"/>
          <w:szCs w:val="22"/>
        </w:rPr>
      </w:pPr>
    </w:p>
    <w:p w14:paraId="3D58FC8F" w14:textId="77777777" w:rsidR="003B3AC5" w:rsidRDefault="003B3AC5" w:rsidP="003B3AC5">
      <w:pPr>
        <w:jc w:val="both"/>
      </w:pPr>
    </w:p>
    <w:p w14:paraId="65E5C1C6" w14:textId="45472FB8" w:rsidR="003B3AC5" w:rsidRDefault="003B3AC5" w:rsidP="003B3AC5">
      <w:pPr>
        <w:pStyle w:val="Titre1"/>
      </w:pPr>
      <w:bookmarkStart w:id="9" w:name="_Toc144941759"/>
      <w:r w:rsidRPr="00B97A4D">
        <w:t>ARTICL</w:t>
      </w:r>
      <w:r>
        <w:t>E 5</w:t>
      </w:r>
      <w:r w:rsidRPr="00B97A4D">
        <w:t xml:space="preserve"> : MESURES RELATIVES </w:t>
      </w:r>
      <w:r>
        <w:t xml:space="preserve">A LA RECEPTION </w:t>
      </w:r>
      <w:r w:rsidR="00CD4586">
        <w:t xml:space="preserve">ET AU STOCKAGE </w:t>
      </w:r>
      <w:r>
        <w:t>DES TRAITEMENTS</w:t>
      </w:r>
      <w:bookmarkEnd w:id="9"/>
    </w:p>
    <w:p w14:paraId="562082C0" w14:textId="77777777" w:rsidR="003B5643" w:rsidRDefault="003B3AC5" w:rsidP="003B5643">
      <w:pPr>
        <w:spacing w:after="0"/>
        <w:jc w:val="both"/>
      </w:pPr>
      <w:r>
        <w:t>Dès la réception des traitements</w:t>
      </w:r>
      <w:r w:rsidR="003B5643">
        <w:t>,</w:t>
      </w:r>
      <w:r w:rsidR="0078588F">
        <w:t xml:space="preserve"> si possible</w:t>
      </w:r>
      <w:r w:rsidR="003B5643">
        <w:t>,</w:t>
      </w:r>
      <w:r w:rsidR="0078588F">
        <w:t xml:space="preserve"> et avant le rangement</w:t>
      </w:r>
      <w:r>
        <w:t xml:space="preserve">, un contrôle qualitatif et quantitatif par un IDE est réalisé et tracé. </w:t>
      </w:r>
      <w:r w:rsidR="0078588F">
        <w:t>Toute non-conformité</w:t>
      </w:r>
      <w:r w:rsidR="0078588F" w:rsidRPr="0078588F">
        <w:t xml:space="preserve"> </w:t>
      </w:r>
      <w:r w:rsidR="0078588F">
        <w:t xml:space="preserve">observée </w:t>
      </w:r>
      <w:r>
        <w:t xml:space="preserve">à l’issu du contrôle du contenu de la livraison devra être signalée </w:t>
      </w:r>
      <w:r w:rsidR="0078588F">
        <w:t xml:space="preserve">sans délai </w:t>
      </w:r>
      <w:r>
        <w:t xml:space="preserve">par l’établissement et tracé (fiche navette ou autre fiche de non-conformités à conserver par l’établissement et à transmettre au pharmacien). </w:t>
      </w:r>
    </w:p>
    <w:p w14:paraId="7D82A298" w14:textId="77777777" w:rsidR="003B5643" w:rsidRDefault="003B3AC5" w:rsidP="003B5643">
      <w:pPr>
        <w:spacing w:after="0"/>
        <w:jc w:val="both"/>
      </w:pPr>
      <w:r>
        <w:t xml:space="preserve">Le pharmacien s’assure de la gestion des non-conformités qui sont examinées. </w:t>
      </w:r>
    </w:p>
    <w:p w14:paraId="7F68C8B8" w14:textId="225A4E82" w:rsidR="003B3AC5" w:rsidRDefault="003B3AC5" w:rsidP="003B5643">
      <w:pPr>
        <w:spacing w:after="0"/>
        <w:jc w:val="both"/>
      </w:pPr>
      <w:r>
        <w:t xml:space="preserve">Des mesures correctives appropriées doivent être mises en place. L’ensemble </w:t>
      </w:r>
      <w:r w:rsidR="00CD4586">
        <w:t>de ces éléments est enregistré</w:t>
      </w:r>
      <w:r>
        <w:t xml:space="preserve"> sur un support pérenne.</w:t>
      </w:r>
    </w:p>
    <w:p w14:paraId="55C40BAB" w14:textId="08CC5B4A" w:rsidR="00B97A4D" w:rsidRDefault="00CD4586" w:rsidP="00B90505">
      <w:pPr>
        <w:jc w:val="both"/>
      </w:pPr>
      <w:r>
        <w:t>L’établissement assure la conservation nominative des traitements (dispositif identifié au nom de l’usager, conformément à l’article R.5132-26 du CSP) selon les conditions de conservation et au sein d’équipements sécurisés, adaptés et dédiés.</w:t>
      </w:r>
    </w:p>
    <w:p w14:paraId="06070E33" w14:textId="77777777" w:rsidR="003A2BFC" w:rsidRPr="0008740F" w:rsidRDefault="003A2BFC" w:rsidP="003A2BFC">
      <w:pPr>
        <w:pStyle w:val="Titre3"/>
        <w:numPr>
          <w:ilvl w:val="0"/>
          <w:numId w:val="44"/>
        </w:numPr>
      </w:pPr>
      <w:bookmarkStart w:id="10" w:name="_Toc144941760"/>
      <w:r>
        <w:t xml:space="preserve">Stock de médicaments </w:t>
      </w:r>
      <w:r w:rsidRPr="0008740F">
        <w:t>pour répondre à des besoins de soins prescrits en urgence</w:t>
      </w:r>
      <w:bookmarkEnd w:id="10"/>
    </w:p>
    <w:p w14:paraId="57B8605D" w14:textId="2CF62886" w:rsidR="003A2BFC" w:rsidRDefault="003A2BFC" w:rsidP="003A2BFC">
      <w:pPr>
        <w:jc w:val="both"/>
      </w:pPr>
      <w:r w:rsidRPr="0008740F">
        <w:t>L'établissement dispose d’une dotation de médicaments pour répondre à de</w:t>
      </w:r>
      <w:r>
        <w:t xml:space="preserve">s besoins de soins prescrits en </w:t>
      </w:r>
      <w:r w:rsidRPr="0008740F">
        <w:t>urgence</w:t>
      </w:r>
      <w:r>
        <w:t xml:space="preserve"> afin</w:t>
      </w:r>
      <w:r w:rsidRPr="007524BD">
        <w:t xml:space="preserve"> </w:t>
      </w:r>
      <w:r>
        <w:t>de débuter un traitement le plus tôt possible, pendant les horaires de fermeture de l’officine (soirée/nuit, weekend, jours fériés)</w:t>
      </w:r>
      <w:r w:rsidRPr="0008740F">
        <w:t>. Cette liste</w:t>
      </w:r>
      <w:r>
        <w:t>,</w:t>
      </w:r>
      <w:r w:rsidRPr="0008740F">
        <w:t xml:space="preserve"> datée et signée</w:t>
      </w:r>
      <w:r>
        <w:t>,</w:t>
      </w:r>
      <w:r w:rsidRPr="0008740F">
        <w:t xml:space="preserve"> est élaborée par le médecin coordonnateur </w:t>
      </w:r>
      <w:r>
        <w:t>en collaboration avec les médecins prescripteurs et la pharmacie d’officine. La dotation pourra être ajustée</w:t>
      </w:r>
      <w:r w:rsidRPr="0008740F">
        <w:t xml:space="preserve"> en fonction </w:t>
      </w:r>
      <w:r w:rsidR="0026060A">
        <w:t xml:space="preserve">de l’évolution </w:t>
      </w:r>
      <w:r w:rsidRPr="0008740F">
        <w:t>d</w:t>
      </w:r>
      <w:r>
        <w:t>es besoins</w:t>
      </w:r>
      <w:r w:rsidRPr="0008740F">
        <w:t>.</w:t>
      </w:r>
      <w:r w:rsidRPr="007524BD">
        <w:t xml:space="preserve"> </w:t>
      </w:r>
    </w:p>
    <w:p w14:paraId="5755C592" w14:textId="084DF807" w:rsidR="003A2BFC" w:rsidRDefault="003A2BFC" w:rsidP="003A2BFC">
      <w:pPr>
        <w:jc w:val="both"/>
      </w:pPr>
      <w:r>
        <w:t xml:space="preserve">La dotation est stockée dans </w:t>
      </w:r>
      <w:r w:rsidR="00F43846">
        <w:t>des locaux, armoires ou autres dispositifs de rangement</w:t>
      </w:r>
      <w:r w:rsidR="00000D17">
        <w:t>s</w:t>
      </w:r>
      <w:r>
        <w:t xml:space="preserve"> fermé</w:t>
      </w:r>
      <w:r w:rsidR="00F43846">
        <w:t>s</w:t>
      </w:r>
      <w:r>
        <w:t xml:space="preserve"> à clé ou </w:t>
      </w:r>
      <w:r w:rsidR="00F43846">
        <w:t>disposant d’un mode de fermeture</w:t>
      </w:r>
      <w:r>
        <w:t xml:space="preserve"> garantissant </w:t>
      </w:r>
      <w:proofErr w:type="gramStart"/>
      <w:r>
        <w:t>l</w:t>
      </w:r>
      <w:r w:rsidR="00F43846">
        <w:t>a</w:t>
      </w:r>
      <w:r>
        <w:t xml:space="preserve"> </w:t>
      </w:r>
      <w:r w:rsidR="0078504E">
        <w:t>même sécurité</w:t>
      </w:r>
      <w:r w:rsidR="00F43846">
        <w:t xml:space="preserve"> dédiés</w:t>
      </w:r>
      <w:proofErr w:type="gramEnd"/>
      <w:r w:rsidR="00F43846">
        <w:t xml:space="preserve"> à leur stockage</w:t>
      </w:r>
      <w:r>
        <w:t>.</w:t>
      </w:r>
    </w:p>
    <w:p w14:paraId="10896090" w14:textId="69D094D1" w:rsidR="003A2BFC" w:rsidRDefault="003A2BFC" w:rsidP="003A2BFC">
      <w:pPr>
        <w:jc w:val="both"/>
      </w:pPr>
      <w:r>
        <w:t>Le stock doit être régulièrement contrôlé pour éliminer les médicaments périmés et les remplacer</w:t>
      </w:r>
      <w:r w:rsidR="00F43846">
        <w:t xml:space="preserve"> avant péremption</w:t>
      </w:r>
      <w:r>
        <w:t>.</w:t>
      </w:r>
    </w:p>
    <w:p w14:paraId="01E9FD98" w14:textId="58BE1AA4" w:rsidR="00F43846" w:rsidRDefault="00F43846" w:rsidP="003A2BFC">
      <w:pPr>
        <w:jc w:val="both"/>
      </w:pPr>
      <w:r>
        <w:t xml:space="preserve">Les médicaments relevant du régime des stupéfiants doivent être stockés dans le respect des dispositions qui leur sont opposables. </w:t>
      </w:r>
    </w:p>
    <w:p w14:paraId="014A24B8" w14:textId="77777777" w:rsidR="003A2BFC" w:rsidRDefault="003A2BFC" w:rsidP="003A2BFC">
      <w:pPr>
        <w:jc w:val="both"/>
      </w:pPr>
      <w:r w:rsidRPr="0008740F">
        <w:t>La facturation de ces médicaments sera adressée directement en fin de mois à l’établissement notifiant "Dotation d'Urgence "</w:t>
      </w:r>
    </w:p>
    <w:p w14:paraId="146F675C" w14:textId="77777777" w:rsidR="003A2BFC" w:rsidRDefault="003A2BFC" w:rsidP="003A2BFC">
      <w:pPr>
        <w:jc w:val="both"/>
      </w:pPr>
    </w:p>
    <w:p w14:paraId="10DCF6F6" w14:textId="77777777" w:rsidR="003A2BFC" w:rsidRDefault="003A2BFC" w:rsidP="003A2BFC">
      <w:pPr>
        <w:pStyle w:val="Titre3"/>
        <w:numPr>
          <w:ilvl w:val="0"/>
          <w:numId w:val="44"/>
        </w:numPr>
      </w:pPr>
      <w:bookmarkStart w:id="11" w:name="_Toc144941761"/>
      <w:r>
        <w:t>Chariot d’urgence</w:t>
      </w:r>
      <w:bookmarkEnd w:id="11"/>
    </w:p>
    <w:p w14:paraId="07FB05BD" w14:textId="7328C069" w:rsidR="003A2BFC" w:rsidRDefault="003A2BFC" w:rsidP="003A2BFC">
      <w:pPr>
        <w:jc w:val="both"/>
      </w:pPr>
      <w:r w:rsidRPr="00CA16D5">
        <w:t xml:space="preserve">Si nécessaire, l’établissement pourra disposer </w:t>
      </w:r>
      <w:r>
        <w:t>d’un chariot</w:t>
      </w:r>
      <w:r w:rsidRPr="00CA16D5">
        <w:t xml:space="preserve"> d’urgence</w:t>
      </w:r>
      <w:r>
        <w:t xml:space="preserve"> sous la responsabilité du médecin coordonnateur. Le chariot d’urgence rassemble les médicaments et dispositifs médicaux utilisés en cas d’urgence vitale dans un endroit connu et accessible par tout le personnel. Ce chariot doit être impérativement sécurisé (par scellés par exemple).</w:t>
      </w:r>
      <w:r w:rsidR="00730134">
        <w:t xml:space="preserve"> </w:t>
      </w:r>
      <w:r w:rsidR="00730134">
        <w:rPr>
          <w:noProof/>
        </w:rPr>
        <w:t>Les scellés (clips plastique par exemple) doivent permettre d'assurer la traçabilité des ouvertures / fermetures du chariot.</w:t>
      </w:r>
    </w:p>
    <w:p w14:paraId="4417CEA2" w14:textId="10D25CCD" w:rsidR="003A2BFC" w:rsidRDefault="003A2BFC" w:rsidP="003A2BFC">
      <w:pPr>
        <w:jc w:val="both"/>
      </w:pPr>
      <w:r>
        <w:t xml:space="preserve">La liste des médicaments </w:t>
      </w:r>
      <w:r w:rsidR="000C3244">
        <w:t xml:space="preserve">et </w:t>
      </w:r>
      <w:r w:rsidR="00000D17">
        <w:t xml:space="preserve">matériel et produits de santé </w:t>
      </w:r>
      <w:r>
        <w:t>du chariot d’urgence est établie et ajustée par le médecin coordonnateur.</w:t>
      </w:r>
    </w:p>
    <w:p w14:paraId="605EEA10" w14:textId="0E1B8F52" w:rsidR="003A2BFC" w:rsidRDefault="003A2BFC" w:rsidP="003A2BFC">
      <w:pPr>
        <w:jc w:val="both"/>
      </w:pPr>
      <w:r>
        <w:t>Elle est mise à disposition dans une pochette placée à l’extérieur du chariot et précise l’emplacement des médicaments éventuel</w:t>
      </w:r>
      <w:r w:rsidR="00796095">
        <w:t>lement détenus au réfrigérateur,</w:t>
      </w:r>
      <w:r>
        <w:t xml:space="preserve"> appareillages etc. </w:t>
      </w:r>
    </w:p>
    <w:p w14:paraId="34465BCD" w14:textId="6F57ACE9" w:rsidR="003A2BFC" w:rsidRDefault="003A2BFC" w:rsidP="003A2BFC">
      <w:pPr>
        <w:jc w:val="both"/>
      </w:pPr>
      <w:r>
        <w:t xml:space="preserve">Le contenu (quantité, péremption des médicaments / dispositifs médicaux) et le fonctionnement des appareils est vérifié </w:t>
      </w:r>
      <w:r w:rsidR="00FF5E99">
        <w:t>régulièrement</w:t>
      </w:r>
      <w:r w:rsidR="000C3244">
        <w:t xml:space="preserve">. Le chariot ainsi vérifié doit </w:t>
      </w:r>
      <w:r w:rsidR="00730134">
        <w:t xml:space="preserve">être </w:t>
      </w:r>
      <w:r w:rsidR="000C3244">
        <w:t xml:space="preserve">scellé </w:t>
      </w:r>
      <w:r>
        <w:t>de nouveau.</w:t>
      </w:r>
      <w:r w:rsidR="00C540CB">
        <w:t xml:space="preserve"> </w:t>
      </w:r>
      <w:r w:rsidR="00FF5E99" w:rsidRPr="00FF5E99">
        <w:t>Une personne responsable de ces</w:t>
      </w:r>
      <w:r w:rsidR="00C540CB" w:rsidRPr="00FF5E99">
        <w:t xml:space="preserve"> contrôle</w:t>
      </w:r>
      <w:r w:rsidR="00FF5E99" w:rsidRPr="00FF5E99">
        <w:t>s et de leur suivi</w:t>
      </w:r>
      <w:r w:rsidR="00C540CB" w:rsidRPr="00FF5E99">
        <w:t xml:space="preserve"> devra être identifiée.</w:t>
      </w:r>
    </w:p>
    <w:p w14:paraId="0A3CA835" w14:textId="5B4BA7FE" w:rsidR="003A2BFC" w:rsidRDefault="003A2BFC" w:rsidP="003A2BFC">
      <w:pPr>
        <w:jc w:val="both"/>
      </w:pPr>
      <w:r>
        <w:t>Toute intervention du personnel soignant (IDE et/ou médecin) sur le chariot d’urgence doit être tracé en précisant le motif d’ouverture (urgence ou contrôle)</w:t>
      </w:r>
      <w:r w:rsidR="00FF5E99">
        <w:t xml:space="preserve"> et le nouveau numéro de scellé.</w:t>
      </w:r>
    </w:p>
    <w:p w14:paraId="540DBFD6" w14:textId="77777777" w:rsidR="003A2BFC" w:rsidRDefault="003A2BFC" w:rsidP="003A2BFC">
      <w:pPr>
        <w:jc w:val="both"/>
      </w:pPr>
      <w:r>
        <w:t>Lors de toute utilisation ou retrait pour péremption, une nouvelle prescription médicale devra être effectuée pour réassort immédiat par l’officine.</w:t>
      </w:r>
    </w:p>
    <w:p w14:paraId="22D6C907" w14:textId="77777777" w:rsidR="003A2BFC" w:rsidRDefault="003A2BFC" w:rsidP="00B90505">
      <w:pPr>
        <w:jc w:val="both"/>
      </w:pPr>
    </w:p>
    <w:p w14:paraId="054D0B4B" w14:textId="297295A0" w:rsidR="00B97A4D" w:rsidRPr="00B97A4D" w:rsidRDefault="00F45F83" w:rsidP="00B97A4D">
      <w:pPr>
        <w:pStyle w:val="Titre1"/>
      </w:pPr>
      <w:bookmarkStart w:id="12" w:name="_Toc144941762"/>
      <w:r>
        <w:t>ARTICLE 6</w:t>
      </w:r>
      <w:r w:rsidR="00B97A4D" w:rsidRPr="00B97A4D">
        <w:t xml:space="preserve"> : EVALUATION DE LA CONVENTION</w:t>
      </w:r>
      <w:bookmarkEnd w:id="12"/>
      <w:r w:rsidR="00B97A4D" w:rsidRPr="00B97A4D">
        <w:t xml:space="preserve"> </w:t>
      </w:r>
    </w:p>
    <w:p w14:paraId="77B701B4" w14:textId="160B2E0B" w:rsidR="00B97A4D" w:rsidRPr="00B97A4D" w:rsidRDefault="00B97A4D" w:rsidP="00B97A4D">
      <w:pPr>
        <w:spacing w:after="120"/>
        <w:jc w:val="both"/>
        <w:rPr>
          <w:rFonts w:cstheme="minorHAnsi"/>
        </w:rPr>
      </w:pPr>
      <w:r w:rsidRPr="00B97A4D">
        <w:rPr>
          <w:rFonts w:cstheme="minorHAnsi"/>
        </w:rPr>
        <w:t xml:space="preserve">Un </w:t>
      </w:r>
      <w:r w:rsidR="00016BDE">
        <w:rPr>
          <w:rFonts w:cstheme="minorHAnsi"/>
        </w:rPr>
        <w:t xml:space="preserve">bilan </w:t>
      </w:r>
      <w:r w:rsidRPr="00B97A4D">
        <w:rPr>
          <w:rFonts w:cstheme="minorHAnsi"/>
        </w:rPr>
        <w:t>sera réalisé par l'</w:t>
      </w:r>
      <w:r>
        <w:rPr>
          <w:rFonts w:cstheme="minorHAnsi"/>
        </w:rPr>
        <w:t>établissement</w:t>
      </w:r>
      <w:r w:rsidRPr="00B97A4D">
        <w:rPr>
          <w:rFonts w:cstheme="minorHAnsi"/>
        </w:rPr>
        <w:t xml:space="preserve"> 6 mois après la signature de ladite convention afin de réévaluer l'atteinte des obligations des deux parties.</w:t>
      </w:r>
    </w:p>
    <w:p w14:paraId="42C93ED7" w14:textId="77777777" w:rsidR="00B97A4D" w:rsidRPr="00B97A4D" w:rsidRDefault="00B97A4D" w:rsidP="00B97A4D">
      <w:pPr>
        <w:pStyle w:val="Default"/>
        <w:jc w:val="both"/>
        <w:rPr>
          <w:rFonts w:asciiTheme="minorHAnsi" w:hAnsiTheme="minorHAnsi" w:cstheme="minorHAnsi"/>
          <w:sz w:val="22"/>
          <w:szCs w:val="22"/>
        </w:rPr>
      </w:pPr>
      <w:r w:rsidRPr="00B97A4D">
        <w:rPr>
          <w:rFonts w:asciiTheme="minorHAnsi" w:hAnsiTheme="minorHAnsi" w:cstheme="minorHAnsi"/>
          <w:sz w:val="22"/>
          <w:szCs w:val="22"/>
        </w:rPr>
        <w:t xml:space="preserve">Puis, la convention fera l’objet d’une évaluation annuelle par un comité composé de représentants des deux parties signataires en vue : </w:t>
      </w:r>
    </w:p>
    <w:p w14:paraId="3D7CA00A" w14:textId="77777777" w:rsidR="00B97A4D" w:rsidRPr="00B97A4D" w:rsidRDefault="00B97A4D" w:rsidP="00B97A4D">
      <w:pPr>
        <w:pStyle w:val="Default"/>
        <w:numPr>
          <w:ilvl w:val="0"/>
          <w:numId w:val="24"/>
        </w:numPr>
        <w:jc w:val="both"/>
        <w:rPr>
          <w:rFonts w:asciiTheme="minorHAnsi" w:hAnsiTheme="minorHAnsi" w:cstheme="minorHAnsi"/>
          <w:sz w:val="22"/>
          <w:szCs w:val="22"/>
        </w:rPr>
      </w:pPr>
      <w:r w:rsidRPr="00B97A4D">
        <w:rPr>
          <w:rFonts w:asciiTheme="minorHAnsi" w:hAnsiTheme="minorHAnsi" w:cstheme="minorHAnsi"/>
          <w:sz w:val="22"/>
          <w:szCs w:val="22"/>
        </w:rPr>
        <w:t xml:space="preserve">De prendre en compte l’évolution des textes issus de la Loi portant réforme de l’Hôpital et relatif aux Patients, à la Santé et aux Territoires (HPST) ; </w:t>
      </w:r>
    </w:p>
    <w:p w14:paraId="7114629E" w14:textId="77777777" w:rsidR="00B97A4D" w:rsidRPr="00B97A4D" w:rsidRDefault="00B97A4D" w:rsidP="00B97A4D">
      <w:pPr>
        <w:pStyle w:val="Default"/>
        <w:numPr>
          <w:ilvl w:val="0"/>
          <w:numId w:val="24"/>
        </w:numPr>
        <w:spacing w:after="120"/>
        <w:jc w:val="both"/>
        <w:rPr>
          <w:rFonts w:asciiTheme="minorHAnsi" w:hAnsiTheme="minorHAnsi" w:cstheme="minorHAnsi"/>
          <w:sz w:val="22"/>
          <w:szCs w:val="22"/>
        </w:rPr>
      </w:pPr>
      <w:r w:rsidRPr="00B97A4D">
        <w:rPr>
          <w:rFonts w:asciiTheme="minorHAnsi" w:hAnsiTheme="minorHAnsi" w:cstheme="minorHAnsi"/>
          <w:sz w:val="22"/>
          <w:szCs w:val="22"/>
        </w:rPr>
        <w:t xml:space="preserve">D’établir un bilan de leur collaboration. </w:t>
      </w:r>
    </w:p>
    <w:p w14:paraId="36183013" w14:textId="77777777" w:rsidR="00B97A4D" w:rsidRPr="00B97A4D" w:rsidRDefault="00B97A4D" w:rsidP="00B97A4D">
      <w:pPr>
        <w:spacing w:after="0"/>
        <w:ind w:left="-5"/>
        <w:jc w:val="both"/>
        <w:rPr>
          <w:rFonts w:cstheme="minorHAnsi"/>
        </w:rPr>
      </w:pPr>
      <w:r w:rsidRPr="00B97A4D">
        <w:rPr>
          <w:rFonts w:cstheme="minorHAnsi"/>
        </w:rPr>
        <w:t>Le cas échéant, certaines modifications pourront être apportées à la présente convention par avenant.</w:t>
      </w:r>
    </w:p>
    <w:p w14:paraId="58F9194D" w14:textId="45F20CB3" w:rsidR="00B97A4D" w:rsidRPr="00016BDE" w:rsidRDefault="00B97A4D" w:rsidP="00B97A4D">
      <w:pPr>
        <w:spacing w:after="0"/>
        <w:jc w:val="both"/>
        <w:rPr>
          <w:rFonts w:cstheme="minorHAnsi"/>
        </w:rPr>
      </w:pPr>
    </w:p>
    <w:p w14:paraId="287CBE10" w14:textId="77576633" w:rsidR="00AA2272" w:rsidRDefault="00016BDE" w:rsidP="0096373D">
      <w:pPr>
        <w:spacing w:after="0"/>
        <w:jc w:val="both"/>
        <w:rPr>
          <w:rFonts w:cstheme="minorHAnsi"/>
        </w:rPr>
      </w:pPr>
      <w:r w:rsidRPr="00016BDE">
        <w:rPr>
          <w:rFonts w:cstheme="minorHAnsi"/>
        </w:rPr>
        <w:t>En cas d’inspection par les autorités compétentes, les rapports et conclusions seront partagés aux deux parties.</w:t>
      </w:r>
    </w:p>
    <w:p w14:paraId="6EF8AF6E" w14:textId="77777777" w:rsidR="001E2EB5" w:rsidRDefault="001E2EB5" w:rsidP="0096373D">
      <w:pPr>
        <w:spacing w:after="0"/>
        <w:jc w:val="both"/>
        <w:rPr>
          <w:rFonts w:asciiTheme="majorHAnsi" w:eastAsiaTheme="majorEastAsia" w:hAnsiTheme="majorHAnsi" w:cstheme="majorBidi"/>
          <w:color w:val="2E74B5" w:themeColor="accent1" w:themeShade="BF"/>
          <w:sz w:val="32"/>
          <w:szCs w:val="32"/>
        </w:rPr>
      </w:pPr>
    </w:p>
    <w:p w14:paraId="674C74FD" w14:textId="08971E94" w:rsidR="00B97A4D" w:rsidRPr="00B97A4D" w:rsidRDefault="00F45F83" w:rsidP="00B97A4D">
      <w:pPr>
        <w:pStyle w:val="Titre1"/>
      </w:pPr>
      <w:bookmarkStart w:id="13" w:name="_Toc144941763"/>
      <w:r>
        <w:t>ARTICLE 7</w:t>
      </w:r>
      <w:r w:rsidR="00B97A4D" w:rsidRPr="00B97A4D">
        <w:t xml:space="preserve"> : DATE D’EFFET, DUREE, RENOUVELLEMENT ET RESILIATION</w:t>
      </w:r>
      <w:bookmarkEnd w:id="13"/>
      <w:r w:rsidR="00B97A4D" w:rsidRPr="00B97A4D">
        <w:t xml:space="preserve"> </w:t>
      </w:r>
    </w:p>
    <w:p w14:paraId="7B30FBD4" w14:textId="1EB812AA" w:rsidR="00B97A4D" w:rsidRPr="00016BDE" w:rsidRDefault="00B97A4D" w:rsidP="00B97A4D">
      <w:pPr>
        <w:pStyle w:val="Corpsdetexte"/>
        <w:spacing w:after="120" w:line="276" w:lineRule="auto"/>
        <w:jc w:val="both"/>
        <w:rPr>
          <w:rFonts w:asciiTheme="minorHAnsi" w:hAnsiTheme="minorHAnsi" w:cstheme="minorHAnsi"/>
          <w:spacing w:val="-5"/>
          <w:lang w:val="fr-FR"/>
        </w:rPr>
      </w:pPr>
      <w:r w:rsidRPr="00016BDE">
        <w:rPr>
          <w:rFonts w:asciiTheme="minorHAnsi" w:hAnsiTheme="minorHAnsi" w:cstheme="minorHAnsi"/>
          <w:spacing w:val="-5"/>
          <w:lang w:val="fr-FR"/>
        </w:rPr>
        <w:t xml:space="preserve">La présente convention est conclue pour une durée </w:t>
      </w:r>
      <w:r w:rsidR="0096373D">
        <w:rPr>
          <w:rFonts w:asciiTheme="minorHAnsi" w:hAnsiTheme="minorHAnsi" w:cstheme="minorHAnsi"/>
          <w:spacing w:val="-5"/>
          <w:lang w:val="fr-FR"/>
        </w:rPr>
        <w:t>de 3 ans</w:t>
      </w:r>
      <w:r w:rsidRPr="00016BDE">
        <w:rPr>
          <w:rFonts w:asciiTheme="minorHAnsi" w:hAnsiTheme="minorHAnsi" w:cstheme="minorHAnsi"/>
          <w:spacing w:val="-5"/>
          <w:lang w:val="fr-FR"/>
        </w:rPr>
        <w:t xml:space="preserve"> à compter de sa signature. Elle est renouvelable par tacite reconduction, sauf dénonciation expresse par l'une des deux parties, par lettre recommandée avec accusé de réception moyennant un préavis d'un mois.</w:t>
      </w:r>
    </w:p>
    <w:p w14:paraId="2139DFC4" w14:textId="77777777" w:rsidR="00B97A4D" w:rsidRPr="00016BDE" w:rsidRDefault="00B97A4D" w:rsidP="00B97A4D">
      <w:pPr>
        <w:spacing w:after="120" w:line="247" w:lineRule="auto"/>
        <w:jc w:val="both"/>
        <w:rPr>
          <w:rFonts w:cstheme="minorHAnsi"/>
        </w:rPr>
      </w:pPr>
      <w:r w:rsidRPr="00016BDE">
        <w:rPr>
          <w:rFonts w:cstheme="minorHAnsi"/>
        </w:rPr>
        <w:t>En cas de dénonciation de la convention les deux parties s’engagent, préalablement à la dénonciation, à organiser une réunion de conciliation afin d’envisager des solutions communes aux différents évoqués. Cependant, en cas de persistance d’un désaccord, elles devront s’entendre au minimum sur des modalités permettant d’assurer la continuité de la prise en charge du patient au cours de la phase de transition.</w:t>
      </w:r>
    </w:p>
    <w:p w14:paraId="444A1D79" w14:textId="77777777" w:rsidR="00B97A4D" w:rsidRPr="00016BDE" w:rsidRDefault="00B97A4D" w:rsidP="00B97A4D">
      <w:pPr>
        <w:spacing w:after="120" w:line="247" w:lineRule="auto"/>
        <w:jc w:val="both"/>
        <w:rPr>
          <w:rFonts w:cstheme="minorHAnsi"/>
        </w:rPr>
      </w:pPr>
      <w:r w:rsidRPr="00016BDE">
        <w:rPr>
          <w:rFonts w:cstheme="minorHAnsi"/>
        </w:rPr>
        <w:lastRenderedPageBreak/>
        <w:t>En cas de manquement grave à ses obligations par l’une des parties, l’autre partie pourra mettre fin immédiatement à la présente convention par lettre recommandée avec accusé de réception.</w:t>
      </w:r>
    </w:p>
    <w:p w14:paraId="6A59786E" w14:textId="7D67742C" w:rsidR="00B97A4D" w:rsidRPr="00016BDE" w:rsidRDefault="00B97A4D" w:rsidP="00B97A4D">
      <w:pPr>
        <w:spacing w:after="120" w:line="247" w:lineRule="auto"/>
        <w:jc w:val="both"/>
        <w:rPr>
          <w:rFonts w:cstheme="minorHAnsi"/>
        </w:rPr>
      </w:pPr>
      <w:r w:rsidRPr="00016BDE">
        <w:rPr>
          <w:rFonts w:cstheme="minorHAnsi"/>
        </w:rPr>
        <w:t>L’</w:t>
      </w:r>
      <w:r w:rsidR="00E64617">
        <w:rPr>
          <w:rFonts w:cstheme="minorHAnsi"/>
        </w:rPr>
        <w:t>établissement</w:t>
      </w:r>
      <w:r w:rsidRPr="00016BDE">
        <w:rPr>
          <w:rFonts w:cstheme="minorHAnsi"/>
        </w:rPr>
        <w:t xml:space="preserve"> s’engage à transmettre cette convention au DGARS compétent selon les dispositions de l'article R.5126-107 qui prévoient que les conventions prévues au I et II de l'article L.5126-10 soient transmises pour i</w:t>
      </w:r>
      <w:r w:rsidR="00E64617">
        <w:rPr>
          <w:rFonts w:cstheme="minorHAnsi"/>
        </w:rPr>
        <w:t>nformation au DGARS compétent ainsi qu’au</w:t>
      </w:r>
      <w:r w:rsidR="00E64617">
        <w:t xml:space="preserve"> Conseil régional de l'Ordre des pharmaciens du lieu d'exercice du pharmacien et du lieu de dispensation des médicaments</w:t>
      </w:r>
    </w:p>
    <w:p w14:paraId="056E0D20" w14:textId="77777777" w:rsidR="00B97A4D" w:rsidRPr="00EB7354" w:rsidRDefault="00B97A4D" w:rsidP="00B97A4D">
      <w:pPr>
        <w:spacing w:after="240" w:line="247" w:lineRule="auto"/>
        <w:jc w:val="both"/>
        <w:rPr>
          <w:rFonts w:ascii="Open Sans" w:hAnsi="Open Sans" w:cs="Open Sans"/>
        </w:rPr>
      </w:pPr>
    </w:p>
    <w:p w14:paraId="69FA2D16" w14:textId="4D1BE820" w:rsidR="00B97A4D" w:rsidRPr="00EB7354" w:rsidRDefault="00B97A4D" w:rsidP="00B97A4D">
      <w:pPr>
        <w:spacing w:after="0" w:line="247" w:lineRule="auto"/>
        <w:jc w:val="both"/>
        <w:rPr>
          <w:rFonts w:ascii="Open Sans" w:hAnsi="Open Sans" w:cs="Open Sans"/>
        </w:rPr>
      </w:pPr>
      <w:r w:rsidRPr="00EB7354">
        <w:rPr>
          <w:rFonts w:ascii="Open Sans" w:hAnsi="Open Sans" w:cs="Open Sans"/>
        </w:rPr>
        <w:t xml:space="preserve">Fait à </w:t>
      </w:r>
      <w:r w:rsidR="00E64617">
        <w:rPr>
          <w:rFonts w:ascii="Open Sans" w:hAnsi="Open Sans" w:cs="Open Sans"/>
        </w:rPr>
        <w:t xml:space="preserve">………………. </w:t>
      </w:r>
      <w:r w:rsidRPr="00EB7354">
        <w:rPr>
          <w:rFonts w:ascii="Open Sans" w:hAnsi="Open Sans" w:cs="Open Sans"/>
        </w:rPr>
        <w:t xml:space="preserve"> </w:t>
      </w:r>
      <w:proofErr w:type="gramStart"/>
      <w:r w:rsidRPr="00EB7354">
        <w:rPr>
          <w:rFonts w:ascii="Open Sans" w:hAnsi="Open Sans" w:cs="Open Sans"/>
        </w:rPr>
        <w:t>le</w:t>
      </w:r>
      <w:proofErr w:type="gramEnd"/>
      <w:r>
        <w:rPr>
          <w:rFonts w:ascii="Open Sans" w:hAnsi="Open Sans" w:cs="Open Sans"/>
        </w:rPr>
        <w:t xml:space="preserve">        /             /</w:t>
      </w:r>
    </w:p>
    <w:p w14:paraId="3DA08221" w14:textId="77777777" w:rsidR="00B97A4D" w:rsidRDefault="00B97A4D" w:rsidP="00B97A4D">
      <w:pPr>
        <w:spacing w:after="0" w:line="247" w:lineRule="auto"/>
        <w:jc w:val="both"/>
        <w:rPr>
          <w:rFonts w:ascii="Open Sans" w:hAnsi="Open Sans" w:cs="Open Sans"/>
        </w:rPr>
      </w:pPr>
    </w:p>
    <w:p w14:paraId="51ACFD5C" w14:textId="77777777" w:rsidR="00B97A4D" w:rsidRDefault="00B97A4D" w:rsidP="00B97A4D">
      <w:pPr>
        <w:spacing w:after="0" w:line="247" w:lineRule="auto"/>
        <w:jc w:val="both"/>
        <w:rPr>
          <w:rFonts w:ascii="Open Sans" w:hAnsi="Open Sans" w:cs="Open Sans"/>
        </w:rPr>
      </w:pPr>
    </w:p>
    <w:p w14:paraId="7480964C" w14:textId="77777777" w:rsidR="00B97A4D" w:rsidRPr="00AC0E13" w:rsidRDefault="00B97A4D" w:rsidP="00B97A4D">
      <w:pPr>
        <w:spacing w:after="0" w:line="247" w:lineRule="auto"/>
        <w:jc w:val="both"/>
        <w:rPr>
          <w:rFonts w:ascii="Open Sans" w:hAnsi="Open Sans" w:cs="Open Sans"/>
        </w:rPr>
      </w:pPr>
      <w:r w:rsidRPr="00AC0E13">
        <w:rPr>
          <w:rFonts w:ascii="Open Sans" w:hAnsi="Open Sans" w:cs="Open Sans"/>
        </w:rPr>
        <w:t>En double exemplaire</w:t>
      </w:r>
    </w:p>
    <w:p w14:paraId="0412E6B0" w14:textId="77777777" w:rsidR="00B97A4D" w:rsidRPr="00EB7354" w:rsidRDefault="00B97A4D" w:rsidP="00B97A4D">
      <w:pPr>
        <w:spacing w:after="0" w:line="247" w:lineRule="auto"/>
        <w:jc w:val="both"/>
        <w:rPr>
          <w:rFonts w:ascii="Open Sans" w:hAnsi="Open Sans" w:cs="Open Sans"/>
        </w:rPr>
      </w:pPr>
    </w:p>
    <w:p w14:paraId="642891D4" w14:textId="77777777" w:rsidR="00B97A4D" w:rsidRPr="00EB7354" w:rsidRDefault="00B97A4D" w:rsidP="00B97A4D">
      <w:pPr>
        <w:spacing w:after="0" w:line="247" w:lineRule="auto"/>
        <w:jc w:val="both"/>
        <w:rPr>
          <w:rFonts w:ascii="Open Sans" w:hAnsi="Open Sans" w:cs="Open Sans"/>
        </w:rPr>
      </w:pPr>
    </w:p>
    <w:p w14:paraId="036F4C15" w14:textId="609E4881" w:rsidR="00B97A4D" w:rsidRPr="00EB7354" w:rsidRDefault="00B97A4D" w:rsidP="00B97A4D">
      <w:pPr>
        <w:spacing w:after="120" w:line="276" w:lineRule="auto"/>
        <w:jc w:val="both"/>
        <w:rPr>
          <w:rFonts w:ascii="Open Sans" w:hAnsi="Open Sans" w:cs="Open Sans"/>
        </w:rPr>
      </w:pPr>
      <w:r w:rsidRPr="00EB7354">
        <w:rPr>
          <w:rFonts w:ascii="Open Sans" w:hAnsi="Open Sans" w:cs="Open Sans"/>
        </w:rPr>
        <w:t>Pour La Pharmacie</w:t>
      </w:r>
      <w:r>
        <w:rPr>
          <w:rFonts w:ascii="Open Sans" w:hAnsi="Open Sans" w:cs="Open Sans"/>
        </w:rPr>
        <w:tab/>
      </w:r>
      <w:r>
        <w:rPr>
          <w:rFonts w:ascii="Open Sans" w:hAnsi="Open Sans" w:cs="Open Sans"/>
        </w:rPr>
        <w:tab/>
      </w:r>
      <w:r>
        <w:rPr>
          <w:rFonts w:ascii="Open Sans" w:hAnsi="Open Sans" w:cs="Open Sans"/>
        </w:rPr>
        <w:tab/>
      </w:r>
      <w:r w:rsidRPr="00EB7354">
        <w:rPr>
          <w:rFonts w:ascii="Open Sans" w:hAnsi="Open Sans" w:cs="Open Sans"/>
        </w:rPr>
        <w:tab/>
      </w:r>
      <w:r w:rsidRPr="00EB7354">
        <w:rPr>
          <w:rFonts w:ascii="Open Sans" w:hAnsi="Open Sans" w:cs="Open Sans"/>
        </w:rPr>
        <w:tab/>
      </w:r>
      <w:r w:rsidRPr="00EB7354">
        <w:rPr>
          <w:rFonts w:ascii="Open Sans" w:hAnsi="Open Sans" w:cs="Open Sans"/>
        </w:rPr>
        <w:tab/>
        <w:t>Pour l’</w:t>
      </w:r>
      <w:r w:rsidR="00E64617">
        <w:rPr>
          <w:rFonts w:ascii="Open Sans" w:hAnsi="Open Sans" w:cs="Open Sans"/>
        </w:rPr>
        <w:t xml:space="preserve">établissement </w:t>
      </w:r>
    </w:p>
    <w:p w14:paraId="5FC681D7" w14:textId="297B3D98" w:rsidR="00B97A4D" w:rsidRPr="00EB7354" w:rsidRDefault="00B97A4D" w:rsidP="00B97A4D">
      <w:pPr>
        <w:spacing w:after="120" w:line="276" w:lineRule="auto"/>
        <w:jc w:val="both"/>
        <w:rPr>
          <w:rFonts w:ascii="Open Sans" w:hAnsi="Open Sans" w:cs="Open Sans"/>
        </w:rPr>
      </w:pPr>
      <w:r w:rsidRPr="00EB7354">
        <w:rPr>
          <w:rFonts w:ascii="Open Sans" w:hAnsi="Open Sans" w:cs="Open Sans"/>
        </w:rPr>
        <w:t>Dr</w:t>
      </w:r>
      <w:r>
        <w:rPr>
          <w:rFonts w:ascii="Open Sans" w:hAnsi="Open Sans" w:cs="Open Sans"/>
        </w:rPr>
        <w:tab/>
      </w:r>
      <w:r>
        <w:rPr>
          <w:rFonts w:ascii="Open Sans" w:hAnsi="Open Sans" w:cs="Open Sans"/>
        </w:rPr>
        <w:tab/>
      </w:r>
      <w:r>
        <w:rPr>
          <w:rFonts w:ascii="Open Sans" w:hAnsi="Open Sans" w:cs="Open Sans"/>
        </w:rPr>
        <w:tab/>
      </w:r>
      <w:r w:rsidRPr="00EB7354">
        <w:rPr>
          <w:rFonts w:ascii="Open Sans" w:hAnsi="Open Sans" w:cs="Open Sans"/>
        </w:rPr>
        <w:tab/>
      </w:r>
      <w:r w:rsidRPr="00EB7354">
        <w:rPr>
          <w:rFonts w:ascii="Open Sans" w:hAnsi="Open Sans" w:cs="Open Sans"/>
        </w:rPr>
        <w:tab/>
      </w:r>
      <w:r w:rsidRPr="00EB7354">
        <w:rPr>
          <w:rFonts w:ascii="Open Sans" w:hAnsi="Open Sans" w:cs="Open Sans"/>
        </w:rPr>
        <w:tab/>
      </w:r>
      <w:r w:rsidRPr="00EB7354">
        <w:rPr>
          <w:rFonts w:ascii="Open Sans" w:hAnsi="Open Sans" w:cs="Open Sans"/>
        </w:rPr>
        <w:tab/>
      </w:r>
      <w:r w:rsidRPr="00EB7354">
        <w:rPr>
          <w:rFonts w:ascii="Open Sans" w:hAnsi="Open Sans" w:cs="Open Sans"/>
        </w:rPr>
        <w:tab/>
      </w:r>
      <w:r w:rsidR="00E64617">
        <w:rPr>
          <w:rFonts w:ascii="Open Sans" w:hAnsi="Open Sans" w:cs="Open Sans"/>
        </w:rPr>
        <w:t xml:space="preserve">Madame / Monsieur </w:t>
      </w:r>
    </w:p>
    <w:p w14:paraId="50D78222" w14:textId="1E88C86E" w:rsidR="00FC7291" w:rsidRPr="00FE669A" w:rsidRDefault="00B97A4D" w:rsidP="00FE669A">
      <w:pPr>
        <w:spacing w:after="120" w:line="276" w:lineRule="auto"/>
        <w:jc w:val="both"/>
        <w:rPr>
          <w:rFonts w:ascii="Open Sans" w:hAnsi="Open Sans" w:cs="Open Sans"/>
        </w:rPr>
      </w:pPr>
      <w:r w:rsidRPr="00EB7354">
        <w:rPr>
          <w:rFonts w:ascii="Open Sans" w:hAnsi="Open Sans" w:cs="Open Sans"/>
        </w:rPr>
        <w:t>Pharmacien Titulaire</w:t>
      </w:r>
      <w:r w:rsidRPr="00EB7354">
        <w:rPr>
          <w:rFonts w:ascii="Open Sans" w:hAnsi="Open Sans" w:cs="Open Sans"/>
        </w:rPr>
        <w:tab/>
      </w:r>
      <w:r w:rsidRPr="00EB7354">
        <w:rPr>
          <w:rFonts w:ascii="Open Sans" w:hAnsi="Open Sans" w:cs="Open Sans"/>
        </w:rPr>
        <w:tab/>
      </w:r>
      <w:r w:rsidRPr="00EB7354">
        <w:rPr>
          <w:rFonts w:ascii="Open Sans" w:hAnsi="Open Sans" w:cs="Open Sans"/>
        </w:rPr>
        <w:tab/>
      </w:r>
      <w:r w:rsidRPr="00EB7354">
        <w:rPr>
          <w:rFonts w:ascii="Open Sans" w:hAnsi="Open Sans" w:cs="Open Sans"/>
        </w:rPr>
        <w:tab/>
      </w:r>
      <w:r w:rsidRPr="00EB7354">
        <w:rPr>
          <w:rFonts w:ascii="Open Sans" w:hAnsi="Open Sans" w:cs="Open Sans"/>
        </w:rPr>
        <w:tab/>
      </w:r>
      <w:r w:rsidRPr="00EB7354">
        <w:rPr>
          <w:rFonts w:ascii="Open Sans" w:hAnsi="Open Sans" w:cs="Open Sans"/>
        </w:rPr>
        <w:tab/>
      </w:r>
      <w:r w:rsidR="00E64617">
        <w:rPr>
          <w:rFonts w:ascii="Open Sans" w:hAnsi="Open Sans" w:cs="Open Sans"/>
        </w:rPr>
        <w:t>En qualité de</w:t>
      </w:r>
    </w:p>
    <w:sectPr w:rsidR="00FC7291" w:rsidRPr="00FE669A" w:rsidSect="00082478">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276" w:right="991" w:bottom="1417"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B55118" w16cex:dateUtc="2023-09-29T15:52:00Z"/>
  <w16cex:commentExtensible w16cex:durableId="60D46D0D" w16cex:dateUtc="2023-09-29T15:57:00Z"/>
  <w16cex:commentExtensible w16cex:durableId="4BE81473" w16cex:dateUtc="2023-09-29T15:59:00Z"/>
  <w16cex:commentExtensible w16cex:durableId="0842DB14" w16cex:dateUtc="2023-09-29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49D59" w16cid:durableId="7CB55118"/>
  <w16cid:commentId w16cid:paraId="1BCD2672" w16cid:durableId="60D46D0D"/>
  <w16cid:commentId w16cid:paraId="685A585E" w16cid:durableId="4BE81473"/>
  <w16cid:commentId w16cid:paraId="18874994" w16cid:durableId="0842DB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6EF8F" w14:textId="77777777" w:rsidR="00B10C5D" w:rsidRDefault="00B10C5D" w:rsidP="008557D6">
      <w:pPr>
        <w:spacing w:after="0" w:line="240" w:lineRule="auto"/>
      </w:pPr>
      <w:r>
        <w:separator/>
      </w:r>
    </w:p>
  </w:endnote>
  <w:endnote w:type="continuationSeparator" w:id="0">
    <w:p w14:paraId="2293595A" w14:textId="77777777" w:rsidR="00B10C5D" w:rsidRDefault="00B10C5D" w:rsidP="0085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Calibr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35F4" w14:textId="77777777" w:rsidR="00FA7A2D" w:rsidRDefault="00FA7A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402841"/>
      <w:docPartObj>
        <w:docPartGallery w:val="Page Numbers (Bottom of Page)"/>
        <w:docPartUnique/>
      </w:docPartObj>
    </w:sdtPr>
    <w:sdtEndPr/>
    <w:sdtContent>
      <w:p w14:paraId="46FDACE8" w14:textId="4AE6AECC" w:rsidR="003F45FA" w:rsidRDefault="003F45FA">
        <w:pPr>
          <w:pStyle w:val="Pieddepage"/>
          <w:jc w:val="right"/>
        </w:pPr>
        <w:r>
          <w:fldChar w:fldCharType="begin"/>
        </w:r>
        <w:r>
          <w:instrText>PAGE   \* MERGEFORMAT</w:instrText>
        </w:r>
        <w:r>
          <w:fldChar w:fldCharType="separate"/>
        </w:r>
        <w:r w:rsidR="00FA7A2D">
          <w:rPr>
            <w:noProof/>
          </w:rPr>
          <w:t>12</w:t>
        </w:r>
        <w:r>
          <w:fldChar w:fldCharType="end"/>
        </w:r>
      </w:p>
    </w:sdtContent>
  </w:sdt>
  <w:p w14:paraId="4D750069" w14:textId="77777777" w:rsidR="003F45FA" w:rsidRDefault="003F45F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983724"/>
      <w:docPartObj>
        <w:docPartGallery w:val="Page Numbers (Bottom of Page)"/>
        <w:docPartUnique/>
      </w:docPartObj>
    </w:sdtPr>
    <w:sdtEndPr/>
    <w:sdtContent>
      <w:p w14:paraId="774DE47A" w14:textId="731CE6E7" w:rsidR="00F75F65" w:rsidRDefault="00F75F65">
        <w:pPr>
          <w:pStyle w:val="Pieddepage"/>
          <w:jc w:val="right"/>
        </w:pPr>
        <w:r>
          <w:fldChar w:fldCharType="begin"/>
        </w:r>
        <w:r>
          <w:instrText>PAGE   \* MERGEFORMAT</w:instrText>
        </w:r>
        <w:r>
          <w:fldChar w:fldCharType="separate"/>
        </w:r>
        <w:r w:rsidR="00FA7A2D">
          <w:rPr>
            <w:noProof/>
          </w:rPr>
          <w:t>1</w:t>
        </w:r>
        <w:r>
          <w:fldChar w:fldCharType="end"/>
        </w:r>
      </w:p>
    </w:sdtContent>
  </w:sdt>
  <w:p w14:paraId="12854E09" w14:textId="77777777" w:rsidR="009C643F" w:rsidRDefault="009C64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1A161" w14:textId="77777777" w:rsidR="00B10C5D" w:rsidRDefault="00B10C5D" w:rsidP="008557D6">
      <w:pPr>
        <w:spacing w:after="0" w:line="240" w:lineRule="auto"/>
      </w:pPr>
      <w:r>
        <w:separator/>
      </w:r>
    </w:p>
  </w:footnote>
  <w:footnote w:type="continuationSeparator" w:id="0">
    <w:p w14:paraId="25C6FF1C" w14:textId="77777777" w:rsidR="00B10C5D" w:rsidRDefault="00B10C5D" w:rsidP="0085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AA7A" w14:textId="77777777" w:rsidR="00FA7A2D" w:rsidRDefault="00FA7A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8811" w14:textId="77777777" w:rsidR="00FA7A2D" w:rsidRDefault="00FA7A2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2A89" w14:textId="4E81BE65" w:rsidR="00F75F65" w:rsidRPr="009C643F" w:rsidRDefault="00FA7A2D" w:rsidP="00F75F65">
    <w:pPr>
      <w:jc w:val="right"/>
      <w:rPr>
        <w:color w:val="404040" w:themeColor="text1" w:themeTint="BF"/>
      </w:rPr>
    </w:pPr>
    <w:r>
      <w:rPr>
        <w:color w:val="404040" w:themeColor="text1" w:themeTint="BF"/>
      </w:rPr>
      <w:t>décembre</w:t>
    </w:r>
    <w:bookmarkStart w:id="14" w:name="_GoBack"/>
    <w:bookmarkEnd w:id="14"/>
    <w:r w:rsidR="00F75F65">
      <w:rPr>
        <w:color w:val="404040" w:themeColor="text1" w:themeTint="BF"/>
      </w:rPr>
      <w:t xml:space="preserve"> 2023</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6946"/>
      <w:gridCol w:w="1407"/>
    </w:tblGrid>
    <w:tr w:rsidR="00F75F65" w:rsidRPr="009C643F" w14:paraId="3C909298" w14:textId="77777777" w:rsidTr="00F75F65">
      <w:tc>
        <w:tcPr>
          <w:tcW w:w="1707" w:type="dxa"/>
        </w:tcPr>
        <w:p w14:paraId="3825C70D" w14:textId="77777777" w:rsidR="00F75F65" w:rsidRDefault="00F75F65" w:rsidP="00F75F65">
          <w:pPr>
            <w:rPr>
              <w:b/>
              <w:sz w:val="40"/>
            </w:rPr>
          </w:pPr>
          <w:r w:rsidRPr="00A56F0E">
            <w:rPr>
              <w:b/>
              <w:noProof/>
              <w:color w:val="70AD47" w:themeColor="accent6"/>
              <w:sz w:val="40"/>
              <w:lang w:eastAsia="fr-FR"/>
            </w:rPr>
            <w:drawing>
              <wp:anchor distT="0" distB="0" distL="114300" distR="114300" simplePos="0" relativeHeight="251665408" behindDoc="0" locked="0" layoutInCell="1" allowOverlap="1" wp14:anchorId="11549B2D" wp14:editId="75D1CB89">
                <wp:simplePos x="0" y="0"/>
                <wp:positionH relativeFrom="column">
                  <wp:posOffset>-80381</wp:posOffset>
                </wp:positionH>
                <wp:positionV relativeFrom="paragraph">
                  <wp:posOffset>42833</wp:posOffset>
                </wp:positionV>
                <wp:extent cx="1028700" cy="605379"/>
                <wp:effectExtent l="0" t="0" r="0" b="4445"/>
                <wp:wrapNone/>
                <wp:docPr id="11" name="Image 11" descr="Contrôle sanitaire des eaux - Bilan 2015 | Mairie de Mu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ôle sanitaire des eaux - Bilan 2015 | Mairie de Mura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605379"/>
                        </a:xfrm>
                        <a:prstGeom prst="rect">
                          <a:avLst/>
                        </a:prstGeom>
                        <a:noFill/>
                        <a:ln>
                          <a:noFill/>
                        </a:ln>
                      </pic:spPr>
                    </pic:pic>
                  </a:graphicData>
                </a:graphic>
              </wp:anchor>
            </w:drawing>
          </w:r>
        </w:p>
      </w:tc>
      <w:tc>
        <w:tcPr>
          <w:tcW w:w="6946" w:type="dxa"/>
        </w:tcPr>
        <w:p w14:paraId="1C520C2D" w14:textId="77777777" w:rsidR="00F75F65" w:rsidRPr="009C643F" w:rsidRDefault="00F75F65" w:rsidP="00F75F65">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jc w:val="center"/>
            <w:rPr>
              <w:b/>
              <w:color w:val="70AD47" w:themeColor="accent6"/>
              <w:sz w:val="40"/>
            </w:rPr>
          </w:pPr>
          <w:r w:rsidRPr="0087341D">
            <w:rPr>
              <w:b/>
              <w:color w:val="70AD47" w:themeColor="accent6"/>
              <w:sz w:val="40"/>
            </w:rPr>
            <w:t xml:space="preserve">CONVENTION </w:t>
          </w:r>
          <w:r>
            <w:rPr>
              <w:b/>
              <w:color w:val="70AD47" w:themeColor="accent6"/>
              <w:sz w:val="40"/>
            </w:rPr>
            <w:t xml:space="preserve">TYPE </w:t>
          </w:r>
          <w:r w:rsidRPr="0087341D">
            <w:rPr>
              <w:b/>
              <w:color w:val="70AD47" w:themeColor="accent6"/>
              <w:sz w:val="40"/>
            </w:rPr>
            <w:t>DE PARTENARIAT ENTRE</w:t>
          </w:r>
          <w:r>
            <w:rPr>
              <w:b/>
              <w:color w:val="70AD47" w:themeColor="accent6"/>
              <w:sz w:val="40"/>
            </w:rPr>
            <w:t xml:space="preserve"> OFFICINE </w:t>
          </w:r>
          <w:r w:rsidRPr="0087341D">
            <w:rPr>
              <w:b/>
              <w:color w:val="70AD47" w:themeColor="accent6"/>
              <w:sz w:val="40"/>
            </w:rPr>
            <w:t>ET</w:t>
          </w:r>
          <w:r>
            <w:rPr>
              <w:b/>
              <w:color w:val="70AD47" w:themeColor="accent6"/>
              <w:sz w:val="40"/>
            </w:rPr>
            <w:t xml:space="preserve"> EHPAD</w:t>
          </w:r>
        </w:p>
      </w:tc>
      <w:tc>
        <w:tcPr>
          <w:tcW w:w="1407" w:type="dxa"/>
        </w:tcPr>
        <w:p w14:paraId="12A9D4A5" w14:textId="77777777" w:rsidR="00F75F65" w:rsidRDefault="00F75F65" w:rsidP="00F75F65">
          <w:pPr>
            <w:pStyle w:val="En-tte"/>
            <w:ind w:right="-567"/>
            <w:jc w:val="right"/>
          </w:pPr>
          <w:r>
            <w:rPr>
              <w:b/>
              <w:noProof/>
              <w:sz w:val="40"/>
              <w:lang w:eastAsia="fr-FR"/>
            </w:rPr>
            <w:drawing>
              <wp:anchor distT="0" distB="0" distL="114300" distR="114300" simplePos="0" relativeHeight="251666432" behindDoc="0" locked="0" layoutInCell="1" allowOverlap="1" wp14:anchorId="0C7A3DD6" wp14:editId="48A2DFFB">
                <wp:simplePos x="0" y="0"/>
                <wp:positionH relativeFrom="rightMargin">
                  <wp:posOffset>-744112</wp:posOffset>
                </wp:positionH>
                <wp:positionV relativeFrom="paragraph">
                  <wp:posOffset>160487</wp:posOffset>
                </wp:positionV>
                <wp:extent cx="1123722" cy="458078"/>
                <wp:effectExtent l="0" t="0" r="635" b="0"/>
                <wp:wrapNone/>
                <wp:docPr id="12" name="Image 12" descr="C:\Users\gwendoline.felker\AppData\Local\Microsoft\Windows\INetCache\Content.Word\omedit pacac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wendoline.felker\AppData\Local\Microsoft\Windows\INetCache\Content.Word\omedit pacacors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722" cy="458078"/>
                        </a:xfrm>
                        <a:prstGeom prst="rect">
                          <a:avLst/>
                        </a:prstGeom>
                        <a:noFill/>
                        <a:ln>
                          <a:noFill/>
                        </a:ln>
                      </pic:spPr>
                    </pic:pic>
                  </a:graphicData>
                </a:graphic>
                <wp14:sizeRelH relativeFrom="margin">
                  <wp14:pctWidth>0</wp14:pctWidth>
                </wp14:sizeRelH>
                <wp14:sizeRelV relativeFrom="margin">
                  <wp14:pctHeight>0</wp14:pctHeight>
                </wp14:sizeRelV>
              </wp:anchor>
            </w:drawing>
          </w:r>
          <w:r>
            <w:t>2023</w:t>
          </w:r>
        </w:p>
        <w:p w14:paraId="184F7D8F" w14:textId="77777777" w:rsidR="00F75F65" w:rsidRDefault="00F75F65" w:rsidP="00F75F65">
          <w:pPr>
            <w:rPr>
              <w:b/>
              <w:sz w:val="40"/>
            </w:rPr>
          </w:pPr>
        </w:p>
      </w:tc>
    </w:tr>
  </w:tbl>
  <w:p w14:paraId="17225A34" w14:textId="06C2A3A8" w:rsidR="00912B3D" w:rsidRPr="00F75F65" w:rsidRDefault="00912B3D" w:rsidP="00F75F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360"/>
    <w:multiLevelType w:val="hybridMultilevel"/>
    <w:tmpl w:val="F4A2774C"/>
    <w:lvl w:ilvl="0" w:tplc="85C2DD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E171C"/>
    <w:multiLevelType w:val="hybridMultilevel"/>
    <w:tmpl w:val="A0FA12A8"/>
    <w:lvl w:ilvl="0" w:tplc="85C2DD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97864"/>
    <w:multiLevelType w:val="hybridMultilevel"/>
    <w:tmpl w:val="EFFAD9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AC60A2"/>
    <w:multiLevelType w:val="hybridMultilevel"/>
    <w:tmpl w:val="FD544B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D63ED6"/>
    <w:multiLevelType w:val="hybridMultilevel"/>
    <w:tmpl w:val="8C6A49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3C6460"/>
    <w:multiLevelType w:val="hybridMultilevel"/>
    <w:tmpl w:val="0C101BF8"/>
    <w:lvl w:ilvl="0" w:tplc="85C2DD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A10727"/>
    <w:multiLevelType w:val="hybridMultilevel"/>
    <w:tmpl w:val="5E40298E"/>
    <w:lvl w:ilvl="0" w:tplc="85C2DD0A">
      <w:numFmt w:val="bullet"/>
      <w:lvlText w:val="-"/>
      <w:lvlJc w:val="left"/>
      <w:pPr>
        <w:ind w:left="720" w:hanging="360"/>
      </w:pPr>
      <w:rPr>
        <w:rFonts w:ascii="Calibri" w:eastAsiaTheme="minorHAnsi" w:hAnsi="Calibri" w:cs="Calibri" w:hint="default"/>
      </w:rPr>
    </w:lvl>
    <w:lvl w:ilvl="1" w:tplc="85C2DD0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EE3BF9"/>
    <w:multiLevelType w:val="hybridMultilevel"/>
    <w:tmpl w:val="157A5F4E"/>
    <w:lvl w:ilvl="0" w:tplc="BD725536">
      <w:start w:val="1"/>
      <w:numFmt w:val="decimal"/>
      <w:pStyle w:val="Titre2"/>
      <w:lvlText w:val="Article %1 -"/>
      <w:lvlJc w:val="left"/>
      <w:pPr>
        <w:ind w:left="78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8" w15:restartNumberingAfterBreak="0">
    <w:nsid w:val="0EF037A8"/>
    <w:multiLevelType w:val="hybridMultilevel"/>
    <w:tmpl w:val="D78A6AEC"/>
    <w:lvl w:ilvl="0" w:tplc="ED986578">
      <w:start w:val="1"/>
      <w:numFmt w:val="bullet"/>
      <w:lvlText w:val="-"/>
      <w:lvlJc w:val="left"/>
      <w:pPr>
        <w:ind w:left="1004" w:hanging="360"/>
      </w:pPr>
      <w:rPr>
        <w:rFonts w:ascii="Calibri" w:eastAsia="Times New Roman"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1400576"/>
    <w:multiLevelType w:val="hybridMultilevel"/>
    <w:tmpl w:val="3E0003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C202CE"/>
    <w:multiLevelType w:val="hybridMultilevel"/>
    <w:tmpl w:val="97F2C256"/>
    <w:lvl w:ilvl="0" w:tplc="00000004">
      <w:numFmt w:val="bullet"/>
      <w:lvlText w:val="-"/>
      <w:lvlJc w:val="left"/>
      <w:pPr>
        <w:ind w:left="360" w:hanging="360"/>
      </w:pPr>
      <w:rPr>
        <w:rFonts w:ascii="Tahoma" w:hAnsi="Tahoma"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Open Sans" w:eastAsiaTheme="minorHAnsi" w:hAnsi="Open Sans" w:cs="Open San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39E4D42"/>
    <w:multiLevelType w:val="hybridMultilevel"/>
    <w:tmpl w:val="43DE0DC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4885713"/>
    <w:multiLevelType w:val="hybridMultilevel"/>
    <w:tmpl w:val="9C46C5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57D01CE"/>
    <w:multiLevelType w:val="hybridMultilevel"/>
    <w:tmpl w:val="CA5A642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2246C72"/>
    <w:multiLevelType w:val="hybridMultilevel"/>
    <w:tmpl w:val="1CA42F4C"/>
    <w:lvl w:ilvl="0" w:tplc="ED986578">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3E54E2A"/>
    <w:multiLevelType w:val="hybridMultilevel"/>
    <w:tmpl w:val="ED9C0F3E"/>
    <w:lvl w:ilvl="0" w:tplc="85C2DD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5E5366"/>
    <w:multiLevelType w:val="multilevel"/>
    <w:tmpl w:val="87E4BA3E"/>
    <w:lvl w:ilvl="0">
      <w:start w:val="1"/>
      <w:numFmt w:val="decimal"/>
      <w:lvlText w:val="%1."/>
      <w:lvlJc w:val="left"/>
      <w:pPr>
        <w:ind w:left="720" w:hanging="360"/>
      </w:pPr>
    </w:lvl>
    <w:lvl w:ilvl="1">
      <w:start w:val="2"/>
      <w:numFmt w:val="decimal"/>
      <w:isLgl/>
      <w:lvlText w:val="%1.%2."/>
      <w:lvlJc w:val="left"/>
      <w:pPr>
        <w:ind w:left="780" w:hanging="420"/>
      </w:pPr>
      <w:rPr>
        <w:rFonts w:eastAsiaTheme="majorEastAsia" w:hint="default"/>
        <w:color w:val="2E74B5" w:themeColor="accent1" w:themeShade="BF"/>
      </w:rPr>
    </w:lvl>
    <w:lvl w:ilvl="2">
      <w:start w:val="1"/>
      <w:numFmt w:val="decimal"/>
      <w:isLgl/>
      <w:lvlText w:val="%1.%2.%3."/>
      <w:lvlJc w:val="left"/>
      <w:pPr>
        <w:ind w:left="1080" w:hanging="720"/>
      </w:pPr>
      <w:rPr>
        <w:rFonts w:eastAsiaTheme="majorEastAsia" w:hint="default"/>
        <w:color w:val="2E74B5" w:themeColor="accent1" w:themeShade="BF"/>
      </w:rPr>
    </w:lvl>
    <w:lvl w:ilvl="3">
      <w:start w:val="1"/>
      <w:numFmt w:val="decimal"/>
      <w:isLgl/>
      <w:lvlText w:val="%1.%2.%3.%4."/>
      <w:lvlJc w:val="left"/>
      <w:pPr>
        <w:ind w:left="1080" w:hanging="720"/>
      </w:pPr>
      <w:rPr>
        <w:rFonts w:eastAsiaTheme="majorEastAsia" w:hint="default"/>
        <w:color w:val="2E74B5" w:themeColor="accent1" w:themeShade="BF"/>
      </w:rPr>
    </w:lvl>
    <w:lvl w:ilvl="4">
      <w:start w:val="1"/>
      <w:numFmt w:val="decimal"/>
      <w:isLgl/>
      <w:lvlText w:val="%1.%2.%3.%4.%5."/>
      <w:lvlJc w:val="left"/>
      <w:pPr>
        <w:ind w:left="1440" w:hanging="1080"/>
      </w:pPr>
      <w:rPr>
        <w:rFonts w:eastAsiaTheme="majorEastAsia" w:hint="default"/>
        <w:color w:val="2E74B5" w:themeColor="accent1" w:themeShade="BF"/>
      </w:rPr>
    </w:lvl>
    <w:lvl w:ilvl="5">
      <w:start w:val="1"/>
      <w:numFmt w:val="decimal"/>
      <w:isLgl/>
      <w:lvlText w:val="%1.%2.%3.%4.%5.%6."/>
      <w:lvlJc w:val="left"/>
      <w:pPr>
        <w:ind w:left="1440" w:hanging="1080"/>
      </w:pPr>
      <w:rPr>
        <w:rFonts w:eastAsiaTheme="majorEastAsia" w:hint="default"/>
        <w:color w:val="2E74B5" w:themeColor="accent1" w:themeShade="BF"/>
      </w:rPr>
    </w:lvl>
    <w:lvl w:ilvl="6">
      <w:start w:val="1"/>
      <w:numFmt w:val="decimal"/>
      <w:isLgl/>
      <w:lvlText w:val="%1.%2.%3.%4.%5.%6.%7."/>
      <w:lvlJc w:val="left"/>
      <w:pPr>
        <w:ind w:left="1800" w:hanging="1440"/>
      </w:pPr>
      <w:rPr>
        <w:rFonts w:eastAsiaTheme="majorEastAsia" w:hint="default"/>
        <w:color w:val="2E74B5" w:themeColor="accent1" w:themeShade="BF"/>
      </w:rPr>
    </w:lvl>
    <w:lvl w:ilvl="7">
      <w:start w:val="1"/>
      <w:numFmt w:val="decimal"/>
      <w:isLgl/>
      <w:lvlText w:val="%1.%2.%3.%4.%5.%6.%7.%8."/>
      <w:lvlJc w:val="left"/>
      <w:pPr>
        <w:ind w:left="1800" w:hanging="1440"/>
      </w:pPr>
      <w:rPr>
        <w:rFonts w:eastAsiaTheme="majorEastAsia" w:hint="default"/>
        <w:color w:val="2E74B5" w:themeColor="accent1" w:themeShade="BF"/>
      </w:rPr>
    </w:lvl>
    <w:lvl w:ilvl="8">
      <w:start w:val="1"/>
      <w:numFmt w:val="decimal"/>
      <w:isLgl/>
      <w:lvlText w:val="%1.%2.%3.%4.%5.%6.%7.%8.%9."/>
      <w:lvlJc w:val="left"/>
      <w:pPr>
        <w:ind w:left="2160" w:hanging="1800"/>
      </w:pPr>
      <w:rPr>
        <w:rFonts w:eastAsiaTheme="majorEastAsia" w:hint="default"/>
        <w:color w:val="2E74B5" w:themeColor="accent1" w:themeShade="BF"/>
      </w:rPr>
    </w:lvl>
  </w:abstractNum>
  <w:abstractNum w:abstractNumId="17" w15:restartNumberingAfterBreak="0">
    <w:nsid w:val="27010628"/>
    <w:multiLevelType w:val="multilevel"/>
    <w:tmpl w:val="836EAADA"/>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8F2C3A"/>
    <w:multiLevelType w:val="hybridMultilevel"/>
    <w:tmpl w:val="8D40620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2F8A0BAE"/>
    <w:multiLevelType w:val="hybridMultilevel"/>
    <w:tmpl w:val="941ED4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295E21"/>
    <w:multiLevelType w:val="hybridMultilevel"/>
    <w:tmpl w:val="EFFAD9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5420C0"/>
    <w:multiLevelType w:val="hybridMultilevel"/>
    <w:tmpl w:val="589CD8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2621C0"/>
    <w:multiLevelType w:val="hybridMultilevel"/>
    <w:tmpl w:val="D9E26C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092047"/>
    <w:multiLevelType w:val="hybridMultilevel"/>
    <w:tmpl w:val="0F0EE342"/>
    <w:lvl w:ilvl="0" w:tplc="C23CFF38">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7E082C"/>
    <w:multiLevelType w:val="hybridMultilevel"/>
    <w:tmpl w:val="59020AF4"/>
    <w:lvl w:ilvl="0" w:tplc="C23CFF38">
      <w:numFmt w:val="bullet"/>
      <w:lvlText w:val="­"/>
      <w:lvlJc w:val="left"/>
      <w:pPr>
        <w:ind w:left="720" w:hanging="360"/>
      </w:pPr>
      <w:rPr>
        <w:rFonts w:ascii="Georgia" w:eastAsiaTheme="minorHAnsi" w:hAnsi="Georgi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2B540D8"/>
    <w:multiLevelType w:val="hybridMultilevel"/>
    <w:tmpl w:val="B742140E"/>
    <w:lvl w:ilvl="0" w:tplc="C23CFF38">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78627F"/>
    <w:multiLevelType w:val="hybridMultilevel"/>
    <w:tmpl w:val="FF32D0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8F602A"/>
    <w:multiLevelType w:val="hybridMultilevel"/>
    <w:tmpl w:val="02A261F8"/>
    <w:lvl w:ilvl="0" w:tplc="85C2DD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D7138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6E4CC1"/>
    <w:multiLevelType w:val="hybridMultilevel"/>
    <w:tmpl w:val="B2329FCE"/>
    <w:lvl w:ilvl="0" w:tplc="C23CFF38">
      <w:numFmt w:val="bullet"/>
      <w:lvlText w:val="­"/>
      <w:lvlJc w:val="left"/>
      <w:pPr>
        <w:ind w:left="1068" w:hanging="360"/>
      </w:pPr>
      <w:rPr>
        <w:rFonts w:ascii="Georgia" w:eastAsiaTheme="minorHAnsi" w:hAnsi="Georgia"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0" w15:restartNumberingAfterBreak="0">
    <w:nsid w:val="58EC29DA"/>
    <w:multiLevelType w:val="hybridMultilevel"/>
    <w:tmpl w:val="F692049E"/>
    <w:lvl w:ilvl="0" w:tplc="00000004">
      <w:numFmt w:val="bullet"/>
      <w:lvlText w:val="-"/>
      <w:lvlJc w:val="left"/>
      <w:pPr>
        <w:ind w:left="1080" w:hanging="360"/>
      </w:pPr>
      <w:rPr>
        <w:rFonts w:ascii="Tahoma" w:hAnsi="Tahoma" w:hint="default"/>
      </w:rPr>
    </w:lvl>
    <w:lvl w:ilvl="1" w:tplc="040C0003">
      <w:start w:val="1"/>
      <w:numFmt w:val="bullet"/>
      <w:lvlText w:val="o"/>
      <w:lvlJc w:val="left"/>
      <w:pPr>
        <w:ind w:left="1800" w:hanging="360"/>
      </w:pPr>
      <w:rPr>
        <w:rFonts w:ascii="Courier New" w:hAnsi="Courier New" w:cs="Courier New" w:hint="default"/>
      </w:rPr>
    </w:lvl>
    <w:lvl w:ilvl="2" w:tplc="0188F61A">
      <w:numFmt w:val="bullet"/>
      <w:lvlText w:val="-"/>
      <w:lvlJc w:val="left"/>
      <w:pPr>
        <w:ind w:left="2520" w:hanging="360"/>
      </w:pPr>
      <w:rPr>
        <w:rFonts w:ascii="Open Sans" w:eastAsiaTheme="minorHAnsi" w:hAnsi="Open Sans" w:cs="Open San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EEB2CDB"/>
    <w:multiLevelType w:val="hybridMultilevel"/>
    <w:tmpl w:val="C3144D96"/>
    <w:lvl w:ilvl="0" w:tplc="040C000F">
      <w:start w:val="1"/>
      <w:numFmt w:val="decimal"/>
      <w:lvlText w:val="%1."/>
      <w:lvlJc w:val="left"/>
      <w:pPr>
        <w:ind w:left="720" w:hanging="360"/>
      </w:pPr>
    </w:lvl>
    <w:lvl w:ilvl="1" w:tplc="040C0011">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1D79D8"/>
    <w:multiLevelType w:val="hybridMultilevel"/>
    <w:tmpl w:val="7EEECDA4"/>
    <w:lvl w:ilvl="0" w:tplc="85C2DD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952A75"/>
    <w:multiLevelType w:val="hybridMultilevel"/>
    <w:tmpl w:val="1B6E94C4"/>
    <w:lvl w:ilvl="0" w:tplc="040C000F">
      <w:start w:val="1"/>
      <w:numFmt w:val="decimal"/>
      <w:lvlText w:val="%1."/>
      <w:lvlJc w:val="left"/>
      <w:pPr>
        <w:ind w:left="720" w:hanging="360"/>
      </w:pPr>
    </w:lvl>
    <w:lvl w:ilvl="1" w:tplc="B5BEC274">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A83276"/>
    <w:multiLevelType w:val="hybridMultilevel"/>
    <w:tmpl w:val="14762FC8"/>
    <w:lvl w:ilvl="0" w:tplc="ED986578">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5209E0"/>
    <w:multiLevelType w:val="hybridMultilevel"/>
    <w:tmpl w:val="16143D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DE25B3"/>
    <w:multiLevelType w:val="hybridMultilevel"/>
    <w:tmpl w:val="F38494BE"/>
    <w:lvl w:ilvl="0" w:tplc="85C2DD0A">
      <w:numFmt w:val="bullet"/>
      <w:lvlText w:val="-"/>
      <w:lvlJc w:val="left"/>
      <w:pPr>
        <w:ind w:left="720" w:hanging="360"/>
      </w:pPr>
      <w:rPr>
        <w:rFonts w:ascii="Calibri" w:eastAsiaTheme="minorHAnsi" w:hAnsi="Calibri" w:cs="Calibri" w:hint="default"/>
      </w:rPr>
    </w:lvl>
    <w:lvl w:ilvl="1" w:tplc="B92AFA46">
      <w:numFmt w:val="bullet"/>
      <w:lvlText w:val="•"/>
      <w:lvlJc w:val="left"/>
      <w:pPr>
        <w:ind w:left="1785" w:hanging="705"/>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B8353CF"/>
    <w:multiLevelType w:val="hybridMultilevel"/>
    <w:tmpl w:val="D7C42360"/>
    <w:lvl w:ilvl="0" w:tplc="9EB0469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E03E42"/>
    <w:multiLevelType w:val="hybridMultilevel"/>
    <w:tmpl w:val="7BA85210"/>
    <w:lvl w:ilvl="0" w:tplc="85C2DD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631A67"/>
    <w:multiLevelType w:val="hybridMultilevel"/>
    <w:tmpl w:val="33A4A4A6"/>
    <w:lvl w:ilvl="0" w:tplc="C23CFF38">
      <w:numFmt w:val="bullet"/>
      <w:lvlText w:val="­"/>
      <w:lvlJc w:val="left"/>
      <w:pPr>
        <w:ind w:left="1440" w:hanging="360"/>
      </w:pPr>
      <w:rPr>
        <w:rFonts w:ascii="Georgia" w:eastAsiaTheme="minorHAnsi" w:hAnsi="Georgia"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B7207C2"/>
    <w:multiLevelType w:val="hybridMultilevel"/>
    <w:tmpl w:val="9C46C5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F694236"/>
    <w:multiLevelType w:val="hybridMultilevel"/>
    <w:tmpl w:val="2C38C490"/>
    <w:lvl w:ilvl="0" w:tplc="85C2DD0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26"/>
  </w:num>
  <w:num w:numId="3">
    <w:abstractNumId w:val="22"/>
  </w:num>
  <w:num w:numId="4">
    <w:abstractNumId w:val="21"/>
  </w:num>
  <w:num w:numId="5">
    <w:abstractNumId w:val="11"/>
  </w:num>
  <w:num w:numId="6">
    <w:abstractNumId w:val="9"/>
  </w:num>
  <w:num w:numId="7">
    <w:abstractNumId w:val="19"/>
  </w:num>
  <w:num w:numId="8">
    <w:abstractNumId w:val="35"/>
  </w:num>
  <w:num w:numId="9">
    <w:abstractNumId w:val="32"/>
  </w:num>
  <w:num w:numId="10">
    <w:abstractNumId w:val="0"/>
  </w:num>
  <w:num w:numId="11">
    <w:abstractNumId w:val="41"/>
  </w:num>
  <w:num w:numId="12">
    <w:abstractNumId w:val="38"/>
  </w:num>
  <w:num w:numId="13">
    <w:abstractNumId w:val="27"/>
  </w:num>
  <w:num w:numId="14">
    <w:abstractNumId w:val="1"/>
  </w:num>
  <w:num w:numId="15">
    <w:abstractNumId w:val="5"/>
  </w:num>
  <w:num w:numId="16">
    <w:abstractNumId w:val="36"/>
  </w:num>
  <w:num w:numId="17">
    <w:abstractNumId w:val="15"/>
  </w:num>
  <w:num w:numId="18">
    <w:abstractNumId w:val="6"/>
  </w:num>
  <w:num w:numId="19">
    <w:abstractNumId w:val="7"/>
    <w:lvlOverride w:ilvl="0">
      <w:startOverride w:val="1"/>
    </w:lvlOverride>
  </w:num>
  <w:num w:numId="20">
    <w:abstractNumId w:val="37"/>
  </w:num>
  <w:num w:numId="21">
    <w:abstractNumId w:val="28"/>
  </w:num>
  <w:num w:numId="22">
    <w:abstractNumId w:val="30"/>
  </w:num>
  <w:num w:numId="23">
    <w:abstractNumId w:val="25"/>
  </w:num>
  <w:num w:numId="24">
    <w:abstractNumId w:val="10"/>
  </w:num>
  <w:num w:numId="25">
    <w:abstractNumId w:val="23"/>
  </w:num>
  <w:num w:numId="26">
    <w:abstractNumId w:val="4"/>
  </w:num>
  <w:num w:numId="27">
    <w:abstractNumId w:val="17"/>
  </w:num>
  <w:num w:numId="28">
    <w:abstractNumId w:val="3"/>
  </w:num>
  <w:num w:numId="29">
    <w:abstractNumId w:val="33"/>
  </w:num>
  <w:num w:numId="30">
    <w:abstractNumId w:val="39"/>
  </w:num>
  <w:num w:numId="31">
    <w:abstractNumId w:val="16"/>
  </w:num>
  <w:num w:numId="32">
    <w:abstractNumId w:val="31"/>
  </w:num>
  <w:num w:numId="33">
    <w:abstractNumId w:val="40"/>
  </w:num>
  <w:num w:numId="34">
    <w:abstractNumId w:val="14"/>
  </w:num>
  <w:num w:numId="35">
    <w:abstractNumId w:val="13"/>
  </w:num>
  <w:num w:numId="36">
    <w:abstractNumId w:val="2"/>
  </w:num>
  <w:num w:numId="37">
    <w:abstractNumId w:val="18"/>
  </w:num>
  <w:num w:numId="38">
    <w:abstractNumId w:val="20"/>
  </w:num>
  <w:num w:numId="39">
    <w:abstractNumId w:val="14"/>
  </w:num>
  <w:num w:numId="40">
    <w:abstractNumId w:val="8"/>
  </w:num>
  <w:num w:numId="41">
    <w:abstractNumId w:val="34"/>
  </w:num>
  <w:num w:numId="42">
    <w:abstractNumId w:val="29"/>
  </w:num>
  <w:num w:numId="43">
    <w:abstractNumId w:val="24"/>
  </w:num>
  <w:num w:numId="4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8"/>
    <w:rsid w:val="00000D17"/>
    <w:rsid w:val="00002372"/>
    <w:rsid w:val="000033B8"/>
    <w:rsid w:val="00005B84"/>
    <w:rsid w:val="00007591"/>
    <w:rsid w:val="00016BDE"/>
    <w:rsid w:val="000204A1"/>
    <w:rsid w:val="0006751B"/>
    <w:rsid w:val="00072414"/>
    <w:rsid w:val="00082478"/>
    <w:rsid w:val="0008740F"/>
    <w:rsid w:val="0009299C"/>
    <w:rsid w:val="000B07EE"/>
    <w:rsid w:val="000B5725"/>
    <w:rsid w:val="000C0215"/>
    <w:rsid w:val="000C3244"/>
    <w:rsid w:val="000D0FF7"/>
    <w:rsid w:val="000D1815"/>
    <w:rsid w:val="000D2187"/>
    <w:rsid w:val="000D7D91"/>
    <w:rsid w:val="000E59A4"/>
    <w:rsid w:val="001135C8"/>
    <w:rsid w:val="00141D80"/>
    <w:rsid w:val="00154626"/>
    <w:rsid w:val="001777D1"/>
    <w:rsid w:val="0019316B"/>
    <w:rsid w:val="001A3FCE"/>
    <w:rsid w:val="001E2EB5"/>
    <w:rsid w:val="001F4DFD"/>
    <w:rsid w:val="00234DEE"/>
    <w:rsid w:val="00241DF6"/>
    <w:rsid w:val="00243492"/>
    <w:rsid w:val="0026060A"/>
    <w:rsid w:val="00265143"/>
    <w:rsid w:val="00266357"/>
    <w:rsid w:val="0028660C"/>
    <w:rsid w:val="00297467"/>
    <w:rsid w:val="002A5E45"/>
    <w:rsid w:val="002B612F"/>
    <w:rsid w:val="002C23F9"/>
    <w:rsid w:val="002C2ACD"/>
    <w:rsid w:val="002D23D1"/>
    <w:rsid w:val="002E5442"/>
    <w:rsid w:val="002F27B9"/>
    <w:rsid w:val="002F27E6"/>
    <w:rsid w:val="00315798"/>
    <w:rsid w:val="0033279D"/>
    <w:rsid w:val="00375C2D"/>
    <w:rsid w:val="00377DF0"/>
    <w:rsid w:val="0038504F"/>
    <w:rsid w:val="0038642C"/>
    <w:rsid w:val="003A2BFC"/>
    <w:rsid w:val="003A64E3"/>
    <w:rsid w:val="003B0DFF"/>
    <w:rsid w:val="003B3AC5"/>
    <w:rsid w:val="003B5643"/>
    <w:rsid w:val="003B690D"/>
    <w:rsid w:val="003C2168"/>
    <w:rsid w:val="003C68B0"/>
    <w:rsid w:val="003F45FA"/>
    <w:rsid w:val="00415BC9"/>
    <w:rsid w:val="004657B4"/>
    <w:rsid w:val="00465EA5"/>
    <w:rsid w:val="004920AB"/>
    <w:rsid w:val="004A6F4D"/>
    <w:rsid w:val="004B3AEA"/>
    <w:rsid w:val="004C0323"/>
    <w:rsid w:val="004C7A10"/>
    <w:rsid w:val="004D43EB"/>
    <w:rsid w:val="004D6C0F"/>
    <w:rsid w:val="0051499F"/>
    <w:rsid w:val="00526136"/>
    <w:rsid w:val="00564004"/>
    <w:rsid w:val="00573140"/>
    <w:rsid w:val="0058065C"/>
    <w:rsid w:val="005A02F5"/>
    <w:rsid w:val="005A1F06"/>
    <w:rsid w:val="005C0A81"/>
    <w:rsid w:val="005D3F98"/>
    <w:rsid w:val="005D4A2D"/>
    <w:rsid w:val="005E239F"/>
    <w:rsid w:val="00624E26"/>
    <w:rsid w:val="00654312"/>
    <w:rsid w:val="00656243"/>
    <w:rsid w:val="00661763"/>
    <w:rsid w:val="00675909"/>
    <w:rsid w:val="006771F4"/>
    <w:rsid w:val="00691605"/>
    <w:rsid w:val="006A3A9B"/>
    <w:rsid w:val="006C494F"/>
    <w:rsid w:val="006D5361"/>
    <w:rsid w:val="006E3C95"/>
    <w:rsid w:val="006E67AC"/>
    <w:rsid w:val="006F2652"/>
    <w:rsid w:val="00730134"/>
    <w:rsid w:val="00737917"/>
    <w:rsid w:val="007524BD"/>
    <w:rsid w:val="007539E4"/>
    <w:rsid w:val="0078504E"/>
    <w:rsid w:val="0078588F"/>
    <w:rsid w:val="00796095"/>
    <w:rsid w:val="007F1B1D"/>
    <w:rsid w:val="00802C17"/>
    <w:rsid w:val="00803132"/>
    <w:rsid w:val="00805018"/>
    <w:rsid w:val="00805E3B"/>
    <w:rsid w:val="008259C3"/>
    <w:rsid w:val="0083216E"/>
    <w:rsid w:val="00852CB9"/>
    <w:rsid w:val="008550B7"/>
    <w:rsid w:val="008557D6"/>
    <w:rsid w:val="00867ADF"/>
    <w:rsid w:val="008715CF"/>
    <w:rsid w:val="0087341D"/>
    <w:rsid w:val="0087388F"/>
    <w:rsid w:val="008B3927"/>
    <w:rsid w:val="008B6C56"/>
    <w:rsid w:val="008B77B1"/>
    <w:rsid w:val="008D2324"/>
    <w:rsid w:val="008D4433"/>
    <w:rsid w:val="008D5E9A"/>
    <w:rsid w:val="008E3DD3"/>
    <w:rsid w:val="008E7116"/>
    <w:rsid w:val="00912B3D"/>
    <w:rsid w:val="00913AC2"/>
    <w:rsid w:val="009507A2"/>
    <w:rsid w:val="00955849"/>
    <w:rsid w:val="0096373D"/>
    <w:rsid w:val="00973CB5"/>
    <w:rsid w:val="009B1DE6"/>
    <w:rsid w:val="009C643F"/>
    <w:rsid w:val="00A076AB"/>
    <w:rsid w:val="00A162CA"/>
    <w:rsid w:val="00A32D92"/>
    <w:rsid w:val="00A361B3"/>
    <w:rsid w:val="00A4423A"/>
    <w:rsid w:val="00A56F0E"/>
    <w:rsid w:val="00A87E20"/>
    <w:rsid w:val="00A92C79"/>
    <w:rsid w:val="00A92D01"/>
    <w:rsid w:val="00AA2272"/>
    <w:rsid w:val="00AB5EF2"/>
    <w:rsid w:val="00AC6EE8"/>
    <w:rsid w:val="00AC777F"/>
    <w:rsid w:val="00AF17C4"/>
    <w:rsid w:val="00AF2580"/>
    <w:rsid w:val="00B02B15"/>
    <w:rsid w:val="00B10C5D"/>
    <w:rsid w:val="00B36EFF"/>
    <w:rsid w:val="00B408BC"/>
    <w:rsid w:val="00B447C3"/>
    <w:rsid w:val="00B55CB4"/>
    <w:rsid w:val="00B6313D"/>
    <w:rsid w:val="00B72554"/>
    <w:rsid w:val="00B77F12"/>
    <w:rsid w:val="00B80433"/>
    <w:rsid w:val="00B816B4"/>
    <w:rsid w:val="00B90505"/>
    <w:rsid w:val="00B908BA"/>
    <w:rsid w:val="00B97A4D"/>
    <w:rsid w:val="00BB208F"/>
    <w:rsid w:val="00BC4F88"/>
    <w:rsid w:val="00C027C6"/>
    <w:rsid w:val="00C112EA"/>
    <w:rsid w:val="00C540CB"/>
    <w:rsid w:val="00C759EF"/>
    <w:rsid w:val="00C8756E"/>
    <w:rsid w:val="00CA16D5"/>
    <w:rsid w:val="00CB7643"/>
    <w:rsid w:val="00CC3C30"/>
    <w:rsid w:val="00CC6BD2"/>
    <w:rsid w:val="00CD4586"/>
    <w:rsid w:val="00CE2AAD"/>
    <w:rsid w:val="00CF171A"/>
    <w:rsid w:val="00D261E1"/>
    <w:rsid w:val="00D4230B"/>
    <w:rsid w:val="00D435B2"/>
    <w:rsid w:val="00D555DE"/>
    <w:rsid w:val="00D60C63"/>
    <w:rsid w:val="00D81519"/>
    <w:rsid w:val="00DB1CA7"/>
    <w:rsid w:val="00DC6620"/>
    <w:rsid w:val="00DE51D7"/>
    <w:rsid w:val="00E0171C"/>
    <w:rsid w:val="00E04398"/>
    <w:rsid w:val="00E15F7E"/>
    <w:rsid w:val="00E172C4"/>
    <w:rsid w:val="00E225C7"/>
    <w:rsid w:val="00E3516E"/>
    <w:rsid w:val="00E64617"/>
    <w:rsid w:val="00E806E2"/>
    <w:rsid w:val="00E8300C"/>
    <w:rsid w:val="00E92DE4"/>
    <w:rsid w:val="00EB5443"/>
    <w:rsid w:val="00EC5E59"/>
    <w:rsid w:val="00ED52E4"/>
    <w:rsid w:val="00ED68B7"/>
    <w:rsid w:val="00EF54A9"/>
    <w:rsid w:val="00F04622"/>
    <w:rsid w:val="00F07956"/>
    <w:rsid w:val="00F12151"/>
    <w:rsid w:val="00F12608"/>
    <w:rsid w:val="00F15E9F"/>
    <w:rsid w:val="00F20167"/>
    <w:rsid w:val="00F26AEA"/>
    <w:rsid w:val="00F3461D"/>
    <w:rsid w:val="00F436B6"/>
    <w:rsid w:val="00F43846"/>
    <w:rsid w:val="00F45F83"/>
    <w:rsid w:val="00F671DF"/>
    <w:rsid w:val="00F75F65"/>
    <w:rsid w:val="00F77AD6"/>
    <w:rsid w:val="00F81E10"/>
    <w:rsid w:val="00FA095D"/>
    <w:rsid w:val="00FA7A2D"/>
    <w:rsid w:val="00FB2FCF"/>
    <w:rsid w:val="00FB71B9"/>
    <w:rsid w:val="00FC7291"/>
    <w:rsid w:val="00FC7CC5"/>
    <w:rsid w:val="00FE669A"/>
    <w:rsid w:val="00FF5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2CDE5"/>
  <w15:chartTrackingRefBased/>
  <w15:docId w15:val="{95559E04-C3AB-4BC9-BE93-A27B1258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E5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1519"/>
    <w:pPr>
      <w:keepNext/>
      <w:keepLines/>
      <w:numPr>
        <w:numId w:val="1"/>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F1B1D"/>
    <w:pPr>
      <w:keepNext/>
      <w:keepLines/>
      <w:spacing w:before="40" w:after="0"/>
      <w:outlineLvl w:val="2"/>
    </w:pPr>
    <w:rPr>
      <w:rFonts w:eastAsiaTheme="majorEastAsia" w:cstheme="minorHAnsi"/>
      <w:color w:val="2E74B5" w:themeColor="accent1" w:themeShade="BF"/>
      <w:sz w:val="24"/>
      <w:szCs w:val="32"/>
    </w:rPr>
  </w:style>
  <w:style w:type="paragraph" w:styleId="Titre4">
    <w:name w:val="heading 4"/>
    <w:basedOn w:val="Titre3"/>
    <w:next w:val="Normal"/>
    <w:link w:val="Titre4Car"/>
    <w:uiPriority w:val="9"/>
    <w:unhideWhenUsed/>
    <w:qFormat/>
    <w:rsid w:val="00141D80"/>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57D6"/>
    <w:pPr>
      <w:tabs>
        <w:tab w:val="center" w:pos="4536"/>
        <w:tab w:val="right" w:pos="9072"/>
      </w:tabs>
      <w:spacing w:after="0" w:line="240" w:lineRule="auto"/>
    </w:pPr>
  </w:style>
  <w:style w:type="character" w:customStyle="1" w:styleId="En-tteCar">
    <w:name w:val="En-tête Car"/>
    <w:basedOn w:val="Policepardfaut"/>
    <w:link w:val="En-tte"/>
    <w:uiPriority w:val="99"/>
    <w:rsid w:val="008557D6"/>
  </w:style>
  <w:style w:type="paragraph" w:styleId="Pieddepage">
    <w:name w:val="footer"/>
    <w:basedOn w:val="Normal"/>
    <w:link w:val="PieddepageCar"/>
    <w:uiPriority w:val="99"/>
    <w:unhideWhenUsed/>
    <w:rsid w:val="008557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57D6"/>
  </w:style>
  <w:style w:type="character" w:customStyle="1" w:styleId="Titre1Car">
    <w:name w:val="Titre 1 Car"/>
    <w:basedOn w:val="Policepardfaut"/>
    <w:link w:val="Titre1"/>
    <w:uiPriority w:val="9"/>
    <w:rsid w:val="002E544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D81519"/>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D81519"/>
    <w:pPr>
      <w:outlineLvl w:val="9"/>
    </w:pPr>
    <w:rPr>
      <w:lang w:eastAsia="fr-FR"/>
    </w:rPr>
  </w:style>
  <w:style w:type="paragraph" w:styleId="TM1">
    <w:name w:val="toc 1"/>
    <w:basedOn w:val="Normal"/>
    <w:next w:val="Normal"/>
    <w:autoRedefine/>
    <w:uiPriority w:val="39"/>
    <w:unhideWhenUsed/>
    <w:rsid w:val="00D81519"/>
    <w:pPr>
      <w:spacing w:after="100"/>
    </w:pPr>
  </w:style>
  <w:style w:type="paragraph" w:styleId="TM2">
    <w:name w:val="toc 2"/>
    <w:basedOn w:val="Normal"/>
    <w:next w:val="Normal"/>
    <w:autoRedefine/>
    <w:uiPriority w:val="39"/>
    <w:unhideWhenUsed/>
    <w:rsid w:val="00D81519"/>
    <w:pPr>
      <w:spacing w:after="100"/>
      <w:ind w:left="220"/>
    </w:pPr>
  </w:style>
  <w:style w:type="character" w:styleId="Lienhypertexte">
    <w:name w:val="Hyperlink"/>
    <w:basedOn w:val="Policepardfaut"/>
    <w:uiPriority w:val="99"/>
    <w:unhideWhenUsed/>
    <w:rsid w:val="00D81519"/>
    <w:rPr>
      <w:color w:val="0563C1" w:themeColor="hyperlink"/>
      <w:u w:val="single"/>
    </w:rPr>
  </w:style>
  <w:style w:type="paragraph" w:customStyle="1" w:styleId="Pa0">
    <w:name w:val="Pa0"/>
    <w:basedOn w:val="Normal"/>
    <w:next w:val="Normal"/>
    <w:uiPriority w:val="99"/>
    <w:rsid w:val="00D81519"/>
    <w:pPr>
      <w:autoSpaceDE w:val="0"/>
      <w:autoSpaceDN w:val="0"/>
      <w:adjustRightInd w:val="0"/>
      <w:spacing w:after="0" w:line="241" w:lineRule="atLeast"/>
    </w:pPr>
    <w:rPr>
      <w:rFonts w:ascii="Myriad Pro" w:hAnsi="Myriad Pro"/>
      <w:sz w:val="24"/>
      <w:szCs w:val="24"/>
    </w:rPr>
  </w:style>
  <w:style w:type="character" w:customStyle="1" w:styleId="A7">
    <w:name w:val="A7"/>
    <w:uiPriority w:val="99"/>
    <w:rsid w:val="00D81519"/>
    <w:rPr>
      <w:rFonts w:cs="Myriad Pro"/>
      <w:color w:val="000000"/>
      <w:sz w:val="20"/>
      <w:szCs w:val="20"/>
    </w:rPr>
  </w:style>
  <w:style w:type="paragraph" w:styleId="Textedebulles">
    <w:name w:val="Balloon Text"/>
    <w:basedOn w:val="Normal"/>
    <w:link w:val="TextedebullesCar"/>
    <w:uiPriority w:val="99"/>
    <w:semiHidden/>
    <w:unhideWhenUsed/>
    <w:rsid w:val="00A442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423A"/>
    <w:rPr>
      <w:rFonts w:ascii="Segoe UI" w:hAnsi="Segoe UI" w:cs="Segoe UI"/>
      <w:sz w:val="18"/>
      <w:szCs w:val="18"/>
    </w:rPr>
  </w:style>
  <w:style w:type="paragraph" w:styleId="Paragraphedeliste">
    <w:name w:val="List Paragraph"/>
    <w:basedOn w:val="Normal"/>
    <w:uiPriority w:val="34"/>
    <w:qFormat/>
    <w:rsid w:val="006A3A9B"/>
    <w:pPr>
      <w:ind w:left="720"/>
      <w:contextualSpacing/>
    </w:pPr>
  </w:style>
  <w:style w:type="paragraph" w:customStyle="1" w:styleId="Pa4">
    <w:name w:val="Pa4"/>
    <w:basedOn w:val="Normal"/>
    <w:next w:val="Normal"/>
    <w:uiPriority w:val="99"/>
    <w:rsid w:val="00E172C4"/>
    <w:pPr>
      <w:autoSpaceDE w:val="0"/>
      <w:autoSpaceDN w:val="0"/>
      <w:adjustRightInd w:val="0"/>
      <w:spacing w:after="0" w:line="241" w:lineRule="atLeast"/>
    </w:pPr>
    <w:rPr>
      <w:rFonts w:ascii="Myriad Pro" w:hAnsi="Myriad Pro"/>
      <w:sz w:val="24"/>
      <w:szCs w:val="24"/>
    </w:rPr>
  </w:style>
  <w:style w:type="character" w:customStyle="1" w:styleId="A9">
    <w:name w:val="A9"/>
    <w:uiPriority w:val="99"/>
    <w:rsid w:val="002F27E6"/>
    <w:rPr>
      <w:rFonts w:cs="Myriad Pro"/>
      <w:b/>
      <w:bCs/>
      <w:color w:val="000000"/>
      <w:sz w:val="30"/>
      <w:szCs w:val="30"/>
    </w:rPr>
  </w:style>
  <w:style w:type="character" w:customStyle="1" w:styleId="A6">
    <w:name w:val="A6"/>
    <w:uiPriority w:val="99"/>
    <w:rsid w:val="002F27E6"/>
    <w:rPr>
      <w:rFonts w:cs="Myriad Pro"/>
      <w:color w:val="000000"/>
      <w:sz w:val="28"/>
      <w:szCs w:val="28"/>
    </w:rPr>
  </w:style>
  <w:style w:type="character" w:customStyle="1" w:styleId="Titre3Car">
    <w:name w:val="Titre 3 Car"/>
    <w:basedOn w:val="Policepardfaut"/>
    <w:link w:val="Titre3"/>
    <w:uiPriority w:val="9"/>
    <w:rsid w:val="007F1B1D"/>
    <w:rPr>
      <w:rFonts w:eastAsiaTheme="majorEastAsia" w:cstheme="minorHAnsi"/>
      <w:color w:val="2E74B5" w:themeColor="accent1" w:themeShade="BF"/>
      <w:sz w:val="24"/>
      <w:szCs w:val="32"/>
    </w:rPr>
  </w:style>
  <w:style w:type="character" w:styleId="Marquedecommentaire">
    <w:name w:val="annotation reference"/>
    <w:basedOn w:val="Policepardfaut"/>
    <w:uiPriority w:val="99"/>
    <w:semiHidden/>
    <w:unhideWhenUsed/>
    <w:rsid w:val="00654312"/>
    <w:rPr>
      <w:sz w:val="16"/>
      <w:szCs w:val="16"/>
    </w:rPr>
  </w:style>
  <w:style w:type="paragraph" w:styleId="Commentaire">
    <w:name w:val="annotation text"/>
    <w:basedOn w:val="Normal"/>
    <w:link w:val="CommentaireCar"/>
    <w:uiPriority w:val="99"/>
    <w:unhideWhenUsed/>
    <w:rsid w:val="00654312"/>
    <w:pPr>
      <w:spacing w:line="240" w:lineRule="auto"/>
    </w:pPr>
    <w:rPr>
      <w:sz w:val="20"/>
      <w:szCs w:val="20"/>
    </w:rPr>
  </w:style>
  <w:style w:type="character" w:customStyle="1" w:styleId="CommentaireCar">
    <w:name w:val="Commentaire Car"/>
    <w:basedOn w:val="Policepardfaut"/>
    <w:link w:val="Commentaire"/>
    <w:uiPriority w:val="99"/>
    <w:rsid w:val="00654312"/>
    <w:rPr>
      <w:sz w:val="20"/>
      <w:szCs w:val="20"/>
    </w:rPr>
  </w:style>
  <w:style w:type="paragraph" w:styleId="Objetducommentaire">
    <w:name w:val="annotation subject"/>
    <w:basedOn w:val="Commentaire"/>
    <w:next w:val="Commentaire"/>
    <w:link w:val="ObjetducommentaireCar"/>
    <w:uiPriority w:val="99"/>
    <w:semiHidden/>
    <w:unhideWhenUsed/>
    <w:rsid w:val="00654312"/>
    <w:rPr>
      <w:b/>
      <w:bCs/>
    </w:rPr>
  </w:style>
  <w:style w:type="character" w:customStyle="1" w:styleId="ObjetducommentaireCar">
    <w:name w:val="Objet du commentaire Car"/>
    <w:basedOn w:val="CommentaireCar"/>
    <w:link w:val="Objetducommentaire"/>
    <w:uiPriority w:val="99"/>
    <w:semiHidden/>
    <w:rsid w:val="00654312"/>
    <w:rPr>
      <w:b/>
      <w:bCs/>
      <w:sz w:val="20"/>
      <w:szCs w:val="20"/>
    </w:rPr>
  </w:style>
  <w:style w:type="paragraph" w:customStyle="1" w:styleId="Pa2">
    <w:name w:val="Pa2"/>
    <w:basedOn w:val="Normal"/>
    <w:next w:val="Normal"/>
    <w:uiPriority w:val="99"/>
    <w:rsid w:val="006F2652"/>
    <w:pPr>
      <w:autoSpaceDE w:val="0"/>
      <w:autoSpaceDN w:val="0"/>
      <w:adjustRightInd w:val="0"/>
      <w:spacing w:after="0" w:line="241" w:lineRule="atLeast"/>
    </w:pPr>
    <w:rPr>
      <w:rFonts w:ascii="Myriad Pro" w:hAnsi="Myriad Pro"/>
      <w:sz w:val="24"/>
      <w:szCs w:val="24"/>
    </w:rPr>
  </w:style>
  <w:style w:type="character" w:customStyle="1" w:styleId="LienInternet">
    <w:name w:val="Lien Internet"/>
    <w:basedOn w:val="Policepardfaut"/>
    <w:uiPriority w:val="99"/>
    <w:unhideWhenUsed/>
    <w:rsid w:val="001777D1"/>
    <w:rPr>
      <w:color w:val="0563C1" w:themeColor="hyperlink"/>
      <w:u w:val="single"/>
    </w:rPr>
  </w:style>
  <w:style w:type="paragraph" w:styleId="NormalWeb">
    <w:name w:val="Normal (Web)"/>
    <w:basedOn w:val="Normal"/>
    <w:uiPriority w:val="99"/>
    <w:unhideWhenUsed/>
    <w:rsid w:val="008550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8550B7"/>
    <w:rPr>
      <w:color w:val="954F72" w:themeColor="followedHyperlink"/>
      <w:u w:val="single"/>
    </w:rPr>
  </w:style>
  <w:style w:type="character" w:customStyle="1" w:styleId="Titre4Car">
    <w:name w:val="Titre 4 Car"/>
    <w:basedOn w:val="Policepardfaut"/>
    <w:link w:val="Titre4"/>
    <w:uiPriority w:val="9"/>
    <w:rsid w:val="00141D80"/>
    <w:rPr>
      <w:rFonts w:eastAsiaTheme="majorEastAsia" w:cstheme="minorHAnsi"/>
      <w:color w:val="2E74B5" w:themeColor="accent1" w:themeShade="BF"/>
      <w:sz w:val="24"/>
      <w:szCs w:val="32"/>
    </w:rPr>
  </w:style>
  <w:style w:type="paragraph" w:customStyle="1" w:styleId="Default">
    <w:name w:val="Default"/>
    <w:rsid w:val="00B90505"/>
    <w:pPr>
      <w:autoSpaceDE w:val="0"/>
      <w:autoSpaceDN w:val="0"/>
      <w:adjustRightInd w:val="0"/>
      <w:spacing w:after="0" w:line="240" w:lineRule="auto"/>
    </w:pPr>
    <w:rPr>
      <w:rFonts w:ascii="Calibri" w:eastAsia="Calibri" w:hAnsi="Calibri" w:cs="Calibri"/>
      <w:color w:val="000000"/>
      <w:sz w:val="24"/>
      <w:szCs w:val="24"/>
    </w:rPr>
  </w:style>
  <w:style w:type="paragraph" w:styleId="Corpsdetexte">
    <w:name w:val="Body Text"/>
    <w:basedOn w:val="Normal"/>
    <w:link w:val="CorpsdetexteCar"/>
    <w:uiPriority w:val="1"/>
    <w:qFormat/>
    <w:rsid w:val="00B97A4D"/>
    <w:pPr>
      <w:widowControl w:val="0"/>
      <w:autoSpaceDE w:val="0"/>
      <w:autoSpaceDN w:val="0"/>
      <w:spacing w:after="0" w:line="240" w:lineRule="auto"/>
    </w:pPr>
    <w:rPr>
      <w:rFonts w:ascii="Comic Sans MS" w:eastAsia="Comic Sans MS" w:hAnsi="Comic Sans MS" w:cs="Comic Sans MS"/>
      <w:lang w:val="en-US"/>
    </w:rPr>
  </w:style>
  <w:style w:type="character" w:customStyle="1" w:styleId="CorpsdetexteCar">
    <w:name w:val="Corps de texte Car"/>
    <w:basedOn w:val="Policepardfaut"/>
    <w:link w:val="Corpsdetexte"/>
    <w:uiPriority w:val="1"/>
    <w:rsid w:val="00B97A4D"/>
    <w:rPr>
      <w:rFonts w:ascii="Comic Sans MS" w:eastAsia="Comic Sans MS" w:hAnsi="Comic Sans MS" w:cs="Comic Sans MS"/>
      <w:lang w:val="en-US"/>
    </w:rPr>
  </w:style>
  <w:style w:type="paragraph" w:styleId="TM3">
    <w:name w:val="toc 3"/>
    <w:basedOn w:val="Normal"/>
    <w:next w:val="Normal"/>
    <w:autoRedefine/>
    <w:uiPriority w:val="39"/>
    <w:unhideWhenUsed/>
    <w:rsid w:val="00FE669A"/>
    <w:pPr>
      <w:spacing w:after="100"/>
      <w:ind w:left="440"/>
    </w:pPr>
  </w:style>
  <w:style w:type="table" w:styleId="Grilledutableau">
    <w:name w:val="Table Grid"/>
    <w:basedOn w:val="TableauNormal"/>
    <w:uiPriority w:val="39"/>
    <w:rsid w:val="009C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80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4445">
      <w:bodyDiv w:val="1"/>
      <w:marLeft w:val="0"/>
      <w:marRight w:val="0"/>
      <w:marTop w:val="0"/>
      <w:marBottom w:val="0"/>
      <w:divBdr>
        <w:top w:val="none" w:sz="0" w:space="0" w:color="auto"/>
        <w:left w:val="none" w:sz="0" w:space="0" w:color="auto"/>
        <w:bottom w:val="none" w:sz="0" w:space="0" w:color="auto"/>
        <w:right w:val="none" w:sz="0" w:space="0" w:color="auto"/>
      </w:divBdr>
    </w:div>
    <w:div w:id="632947963">
      <w:bodyDiv w:val="1"/>
      <w:marLeft w:val="0"/>
      <w:marRight w:val="0"/>
      <w:marTop w:val="0"/>
      <w:marBottom w:val="0"/>
      <w:divBdr>
        <w:top w:val="none" w:sz="0" w:space="0" w:color="auto"/>
        <w:left w:val="none" w:sz="0" w:space="0" w:color="auto"/>
        <w:bottom w:val="none" w:sz="0" w:space="0" w:color="auto"/>
        <w:right w:val="none" w:sz="0" w:space="0" w:color="auto"/>
      </w:divBdr>
    </w:div>
    <w:div w:id="725103678">
      <w:bodyDiv w:val="1"/>
      <w:marLeft w:val="0"/>
      <w:marRight w:val="0"/>
      <w:marTop w:val="0"/>
      <w:marBottom w:val="0"/>
      <w:divBdr>
        <w:top w:val="none" w:sz="0" w:space="0" w:color="auto"/>
        <w:left w:val="none" w:sz="0" w:space="0" w:color="auto"/>
        <w:bottom w:val="none" w:sz="0" w:space="0" w:color="auto"/>
        <w:right w:val="none" w:sz="0" w:space="0" w:color="auto"/>
      </w:divBdr>
    </w:div>
    <w:div w:id="818418483">
      <w:bodyDiv w:val="1"/>
      <w:marLeft w:val="0"/>
      <w:marRight w:val="0"/>
      <w:marTop w:val="0"/>
      <w:marBottom w:val="0"/>
      <w:divBdr>
        <w:top w:val="none" w:sz="0" w:space="0" w:color="auto"/>
        <w:left w:val="none" w:sz="0" w:space="0" w:color="auto"/>
        <w:bottom w:val="none" w:sz="0" w:space="0" w:color="auto"/>
        <w:right w:val="none" w:sz="0" w:space="0" w:color="auto"/>
      </w:divBdr>
    </w:div>
    <w:div w:id="966817772">
      <w:bodyDiv w:val="1"/>
      <w:marLeft w:val="0"/>
      <w:marRight w:val="0"/>
      <w:marTop w:val="0"/>
      <w:marBottom w:val="0"/>
      <w:divBdr>
        <w:top w:val="none" w:sz="0" w:space="0" w:color="auto"/>
        <w:left w:val="none" w:sz="0" w:space="0" w:color="auto"/>
        <w:bottom w:val="none" w:sz="0" w:space="0" w:color="auto"/>
        <w:right w:val="none" w:sz="0" w:space="0" w:color="auto"/>
      </w:divBdr>
    </w:div>
    <w:div w:id="1371415444">
      <w:bodyDiv w:val="1"/>
      <w:marLeft w:val="0"/>
      <w:marRight w:val="0"/>
      <w:marTop w:val="0"/>
      <w:marBottom w:val="0"/>
      <w:divBdr>
        <w:top w:val="none" w:sz="0" w:space="0" w:color="auto"/>
        <w:left w:val="none" w:sz="0" w:space="0" w:color="auto"/>
        <w:bottom w:val="none" w:sz="0" w:space="0" w:color="auto"/>
        <w:right w:val="none" w:sz="0" w:space="0" w:color="auto"/>
      </w:divBdr>
    </w:div>
    <w:div w:id="1558511636">
      <w:bodyDiv w:val="1"/>
      <w:marLeft w:val="0"/>
      <w:marRight w:val="0"/>
      <w:marTop w:val="0"/>
      <w:marBottom w:val="0"/>
      <w:divBdr>
        <w:top w:val="none" w:sz="0" w:space="0" w:color="auto"/>
        <w:left w:val="none" w:sz="0" w:space="0" w:color="auto"/>
        <w:bottom w:val="none" w:sz="0" w:space="0" w:color="auto"/>
        <w:right w:val="none" w:sz="0" w:space="0" w:color="auto"/>
      </w:divBdr>
    </w:div>
    <w:div w:id="1612203131">
      <w:bodyDiv w:val="1"/>
      <w:marLeft w:val="0"/>
      <w:marRight w:val="0"/>
      <w:marTop w:val="0"/>
      <w:marBottom w:val="0"/>
      <w:divBdr>
        <w:top w:val="none" w:sz="0" w:space="0" w:color="auto"/>
        <w:left w:val="none" w:sz="0" w:space="0" w:color="auto"/>
        <w:bottom w:val="none" w:sz="0" w:space="0" w:color="auto"/>
        <w:right w:val="none" w:sz="0" w:space="0" w:color="auto"/>
      </w:divBdr>
    </w:div>
    <w:div w:id="19801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69&amp;idArticle=LEGIARTI000006797482&amp;dateTexte=&amp;categorieLien=cid" TargetMode="External"/><Relationship Id="rId13" Type="http://schemas.openxmlformats.org/officeDocument/2006/relationships/hyperlink" Target="https://www.legifrance.gouv.fr/affichCodeArticle.do?cidTexte=LEGITEXT000006074069&amp;idArticle=LEGIARTI000006906289&amp;dateTexte=&amp;categorieLien=cid"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france.gouv.fr/affichCodeArticle.do?cidTexte=LEGITEXT000006074069&amp;idArticle=LEGIARTI000006797506&amp;dateTexte=&amp;categorieLien=cid" TargetMode="External"/><Relationship Id="rId17" Type="http://schemas.openxmlformats.org/officeDocument/2006/relationships/hyperlink" Target="https://www.legifrance.gouv.fr/codes/article_lc/LEGIARTI0000069137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4069&amp;idArticle=LEGIARTI000006906535&amp;dateTexte=&amp;categorieLien=c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4069&amp;idArticle=LEGIARTI000031798524&amp;dateTexte=&amp;categorieLien=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4069&amp;idArticle=LEGIARTI000006797382&amp;dateTexte=&amp;categorieLien=cid" TargetMode="External"/><Relationship Id="rId23" Type="http://schemas.openxmlformats.org/officeDocument/2006/relationships/footer" Target="footer3.xml"/><Relationship Id="rId10" Type="http://schemas.openxmlformats.org/officeDocument/2006/relationships/hyperlink" Target="https://www.legifrance.gouv.fr/affichCodeArticle.do?cidTexte=LEGITEXT000006074069&amp;idArticle=LEGIARTI000031798510&amp;dateTexte=&amp;categorieLien=ci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france.gouv.fr/affichCodeArticle.do?cidTexte=LEGITEXT000006074069&amp;idArticle=LEGIARTI000006906727&amp;dateTexte=&amp;categorieLien=cid" TargetMode="External"/><Relationship Id="rId14" Type="http://schemas.openxmlformats.org/officeDocument/2006/relationships/hyperlink" Target="https://www.legifrance.gouv.fr/affichCodeArticle.do?cidTexte=LEGITEXT000006074069&amp;idArticle=LEGIARTI000033072901&amp;dateTexte=&amp;categorieLien=cid"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9D14-2651-43D2-92C0-0F632CDC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5156</Words>
  <Characters>28361</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FELKER, Gwendoline (ARS-PACA/DPRS/OMEDIT)</dc:creator>
  <cp:keywords/>
  <dc:description/>
  <cp:lastModifiedBy>FELKER, Gwendoline (ARS-PACA/DPRS/OMEDIT)</cp:lastModifiedBy>
  <cp:revision>5</cp:revision>
  <cp:lastPrinted>2023-12-08T12:39:00Z</cp:lastPrinted>
  <dcterms:created xsi:type="dcterms:W3CDTF">2023-12-08T12:36:00Z</dcterms:created>
  <dcterms:modified xsi:type="dcterms:W3CDTF">2023-12-08T12:42:00Z</dcterms:modified>
</cp:coreProperties>
</file>