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2C" w:rsidRDefault="00C90BE0" w:rsidP="00E47446">
      <w:pPr>
        <w:jc w:val="center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2548255</wp:posOffset>
            </wp:positionH>
            <wp:positionV relativeFrom="page">
              <wp:posOffset>342900</wp:posOffset>
            </wp:positionV>
            <wp:extent cx="952500" cy="952500"/>
            <wp:effectExtent l="0" t="0" r="0" b="0"/>
            <wp:wrapNone/>
            <wp:docPr id="2" name="Image 2" descr="Équipe de coordination du DSRC OncoPaca-Corse - Marseille,  Provence-Alpes-Côte d'Azur, France | Profil professionnel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Équipe de coordination du DSRC OncoPaca-Corse - Marseille,  Provence-Alpes-Côte d'Azur, France | Profil professionnel | Linked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1014730</wp:posOffset>
            </wp:positionH>
            <wp:positionV relativeFrom="page">
              <wp:posOffset>552450</wp:posOffset>
            </wp:positionV>
            <wp:extent cx="1171575" cy="459105"/>
            <wp:effectExtent l="0" t="0" r="9525" b="0"/>
            <wp:wrapNone/>
            <wp:docPr id="1" name="Image 1" descr="Accueil - OMéDIT PACA-C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ueil - OMéDIT PACA-Cor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392C" w:rsidRPr="007D392C">
        <w:rPr>
          <w:b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-375920</wp:posOffset>
            </wp:positionH>
            <wp:positionV relativeFrom="page">
              <wp:posOffset>504825</wp:posOffset>
            </wp:positionV>
            <wp:extent cx="986155" cy="571500"/>
            <wp:effectExtent l="0" t="0" r="4445" b="0"/>
            <wp:wrapTopAndBottom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C04657" w:rsidRPr="00E47446" w:rsidRDefault="009E3E32" w:rsidP="00E47446">
      <w:pPr>
        <w:jc w:val="center"/>
        <w:rPr>
          <w:b/>
        </w:rPr>
      </w:pPr>
      <w:r w:rsidRPr="00E47446">
        <w:rPr>
          <w:b/>
        </w:rPr>
        <w:t>Convention relative à l’organisation de la prise en charge des chimiothérapies injectables en HAD</w:t>
      </w:r>
    </w:p>
    <w:p w:rsidR="009E3E32" w:rsidRDefault="009E3E32" w:rsidP="00BB45FD">
      <w:pPr>
        <w:spacing w:line="240" w:lineRule="auto"/>
      </w:pPr>
      <w:r>
        <w:t>Article 1. Objet</w:t>
      </w:r>
    </w:p>
    <w:p w:rsidR="009E3E32" w:rsidRDefault="009E3E32" w:rsidP="00BB45FD">
      <w:pPr>
        <w:spacing w:line="240" w:lineRule="auto"/>
      </w:pPr>
      <w:r>
        <w:t>Article 2. Engagement des établissements signataires de la convention</w:t>
      </w:r>
    </w:p>
    <w:p w:rsidR="009E3E32" w:rsidRDefault="009E3E32" w:rsidP="00BB45FD">
      <w:pPr>
        <w:spacing w:after="120" w:line="240" w:lineRule="auto"/>
      </w:pPr>
      <w:r>
        <w:t>Article 3. Compétence et devoir de formation des professionnels de santé</w:t>
      </w:r>
    </w:p>
    <w:p w:rsidR="009E3E32" w:rsidRDefault="009E3E32" w:rsidP="00BB45FD">
      <w:pPr>
        <w:spacing w:after="120" w:line="240" w:lineRule="auto"/>
      </w:pPr>
      <w:r>
        <w:t>Article 4 : L’information et le consentement du patient</w:t>
      </w:r>
    </w:p>
    <w:p w:rsidR="009E3E32" w:rsidRDefault="009E3E32" w:rsidP="00BB45FD">
      <w:pPr>
        <w:spacing w:after="120" w:line="240" w:lineRule="auto"/>
      </w:pPr>
      <w:r>
        <w:t>Article 5. Coordination et continuité des soins</w:t>
      </w:r>
    </w:p>
    <w:p w:rsidR="009E3E32" w:rsidRDefault="009E3E32" w:rsidP="00BB45FD">
      <w:pPr>
        <w:spacing w:after="120" w:line="240" w:lineRule="auto"/>
      </w:pPr>
      <w:r>
        <w:t>Article 6 : Documents à transmettre</w:t>
      </w:r>
    </w:p>
    <w:p w:rsidR="009E3E32" w:rsidRDefault="009E3E32" w:rsidP="00BB45FD">
      <w:pPr>
        <w:spacing w:after="120" w:line="240" w:lineRule="auto"/>
      </w:pPr>
      <w:r>
        <w:tab/>
        <w:t>L'ordonnance de prescription de la chimiothérapie</w:t>
      </w:r>
    </w:p>
    <w:p w:rsidR="009E3E32" w:rsidRDefault="009E3E32" w:rsidP="00BB45FD">
      <w:pPr>
        <w:spacing w:after="120" w:line="240" w:lineRule="auto"/>
        <w:ind w:firstLine="708"/>
      </w:pPr>
      <w:r>
        <w:t>Les modalités de surveillance</w:t>
      </w:r>
    </w:p>
    <w:p w:rsidR="009E3E32" w:rsidRDefault="009E3E32" w:rsidP="00BB45FD">
      <w:pPr>
        <w:spacing w:after="120" w:line="240" w:lineRule="auto"/>
        <w:ind w:firstLine="708"/>
      </w:pPr>
      <w:r>
        <w:t>Les modalités de transport des médicaments au domicile</w:t>
      </w:r>
    </w:p>
    <w:p w:rsidR="009E3E32" w:rsidRDefault="009E3E32" w:rsidP="00BB45FD">
      <w:pPr>
        <w:spacing w:after="120" w:line="240" w:lineRule="auto"/>
        <w:ind w:firstLine="708"/>
      </w:pPr>
      <w:r>
        <w:t xml:space="preserve">Les procédures suivantes : </w:t>
      </w:r>
    </w:p>
    <w:p w:rsidR="00B41FD4" w:rsidRDefault="009E3E32" w:rsidP="00BB45FD">
      <w:pPr>
        <w:spacing w:after="120" w:line="240" w:lineRule="auto"/>
        <w:ind w:left="1416"/>
      </w:pPr>
      <w:r>
        <w:t>Modalités du</w:t>
      </w:r>
      <w:r w:rsidR="00B41FD4">
        <w:t xml:space="preserve"> « feu</w:t>
      </w:r>
      <w:r>
        <w:t xml:space="preserve"> vert </w:t>
      </w:r>
      <w:r w:rsidR="00B41FD4">
        <w:t>médical »</w:t>
      </w:r>
      <w:r>
        <w:t xml:space="preserve"> et du</w:t>
      </w:r>
      <w:r w:rsidR="00B41FD4">
        <w:t xml:space="preserve"> « feu</w:t>
      </w:r>
      <w:r>
        <w:t xml:space="preserve"> vert </w:t>
      </w:r>
      <w:r w:rsidR="00B41FD4">
        <w:t>IDE »</w:t>
      </w:r>
      <w:r>
        <w:t xml:space="preserve"> </w:t>
      </w:r>
    </w:p>
    <w:p w:rsidR="00110188" w:rsidRDefault="00110188" w:rsidP="00BB45FD">
      <w:pPr>
        <w:spacing w:after="120" w:line="240" w:lineRule="auto"/>
        <w:ind w:left="1416"/>
      </w:pPr>
      <w:r>
        <w:t>Modalités de traçabilité d’administration</w:t>
      </w:r>
    </w:p>
    <w:p w:rsidR="009E3E32" w:rsidRDefault="009E3E32" w:rsidP="00BB45FD">
      <w:pPr>
        <w:spacing w:after="120" w:line="240" w:lineRule="auto"/>
        <w:ind w:left="1416"/>
      </w:pPr>
      <w:r>
        <w:t xml:space="preserve">Conduite à tenir en cas d’extravasation </w:t>
      </w:r>
    </w:p>
    <w:p w:rsidR="009E3E32" w:rsidRDefault="009E3E32" w:rsidP="00BB45FD">
      <w:pPr>
        <w:spacing w:after="120" w:line="240" w:lineRule="auto"/>
        <w:ind w:left="1416"/>
      </w:pPr>
      <w:r>
        <w:t>Conduite à tenir en cas d’incident avec un médicament anticancéreux</w:t>
      </w:r>
    </w:p>
    <w:p w:rsidR="00BB45FD" w:rsidRDefault="009E3E32" w:rsidP="00BB45FD">
      <w:pPr>
        <w:spacing w:after="120" w:line="240" w:lineRule="auto"/>
        <w:ind w:left="1416"/>
      </w:pPr>
      <w:r>
        <w:t>Procédure de ré-hospitalisation en cas d’ef</w:t>
      </w:r>
      <w:r w:rsidR="00BB45FD">
        <w:t xml:space="preserve">fets indésirables graves </w:t>
      </w:r>
    </w:p>
    <w:p w:rsidR="009E3E32" w:rsidRDefault="009E3E32" w:rsidP="00BB45FD">
      <w:pPr>
        <w:spacing w:after="120" w:line="240" w:lineRule="auto"/>
        <w:ind w:left="1416"/>
      </w:pPr>
      <w:r>
        <w:t xml:space="preserve">Procédure de gestion des déchets </w:t>
      </w:r>
    </w:p>
    <w:p w:rsidR="009E3E32" w:rsidRDefault="009E3E32" w:rsidP="00BB45FD">
      <w:pPr>
        <w:spacing w:after="120" w:line="240" w:lineRule="auto"/>
        <w:ind w:firstLine="708"/>
      </w:pPr>
      <w:r>
        <w:t>Les coordonnées utiles des différents intervenants</w:t>
      </w:r>
    </w:p>
    <w:p w:rsidR="009E3E32" w:rsidRDefault="009E3E32" w:rsidP="00BB45FD">
      <w:pPr>
        <w:spacing w:after="120" w:line="240" w:lineRule="auto"/>
      </w:pPr>
      <w:r>
        <w:t xml:space="preserve">Article 7 : Prescription, « feu vert </w:t>
      </w:r>
      <w:r w:rsidR="00B41FD4">
        <w:t>médical »</w:t>
      </w:r>
      <w:r>
        <w:t xml:space="preserve">, « feu vert </w:t>
      </w:r>
      <w:r w:rsidR="00B41FD4">
        <w:t>IDE »</w:t>
      </w:r>
    </w:p>
    <w:p w:rsidR="009E3E32" w:rsidRDefault="009E3E32" w:rsidP="00BB45FD">
      <w:pPr>
        <w:spacing w:after="120" w:line="240" w:lineRule="auto"/>
      </w:pPr>
      <w:r>
        <w:t>Article 8 : Réalisation de la préparation à la PUI</w:t>
      </w:r>
    </w:p>
    <w:p w:rsidR="00BB45FD" w:rsidRDefault="00BB45FD" w:rsidP="00BB45FD">
      <w:pPr>
        <w:spacing w:after="120" w:line="240" w:lineRule="auto"/>
      </w:pPr>
      <w:r>
        <w:tab/>
      </w:r>
      <w:r>
        <w:tab/>
        <w:t>Dispensation</w:t>
      </w:r>
    </w:p>
    <w:p w:rsidR="00BB45FD" w:rsidRDefault="00BB45FD" w:rsidP="00BB45FD">
      <w:pPr>
        <w:spacing w:after="120" w:line="240" w:lineRule="auto"/>
      </w:pPr>
      <w:r>
        <w:tab/>
      </w:r>
      <w:r>
        <w:tab/>
        <w:t>Validation pharmaceutique</w:t>
      </w:r>
    </w:p>
    <w:p w:rsidR="00BB45FD" w:rsidRDefault="00BB45FD" w:rsidP="00BB45FD">
      <w:pPr>
        <w:spacing w:after="120" w:line="240" w:lineRule="auto"/>
      </w:pPr>
    </w:p>
    <w:p w:rsidR="009E3E32" w:rsidRDefault="009E3E32" w:rsidP="00BB45FD">
      <w:pPr>
        <w:spacing w:after="120" w:line="240" w:lineRule="auto"/>
      </w:pPr>
      <w:r>
        <w:t>Article 9 : Modalités de colisage de la chimiothérapie</w:t>
      </w:r>
    </w:p>
    <w:p w:rsidR="009E3E32" w:rsidRDefault="009E3E32" w:rsidP="00BB45FD">
      <w:pPr>
        <w:spacing w:after="120" w:line="240" w:lineRule="auto"/>
      </w:pPr>
      <w:r>
        <w:t>Article 10 : Modalités de transport de la chimiothérapie</w:t>
      </w:r>
    </w:p>
    <w:p w:rsidR="00BB45FD" w:rsidRDefault="00BB45FD" w:rsidP="00BB45FD">
      <w:pPr>
        <w:spacing w:after="120" w:line="240" w:lineRule="auto"/>
      </w:pPr>
      <w:r>
        <w:t xml:space="preserve">Article </w:t>
      </w:r>
      <w:r w:rsidR="00B41FD4">
        <w:t xml:space="preserve">11 :  </w:t>
      </w:r>
      <w:r w:rsidRPr="00B41FD4">
        <w:t>Stockage des traitements au sein de la HAD ou du domicile du patient</w:t>
      </w:r>
    </w:p>
    <w:p w:rsidR="009E3E32" w:rsidRDefault="00B41FD4" w:rsidP="00BB45FD">
      <w:pPr>
        <w:spacing w:after="120" w:line="240" w:lineRule="auto"/>
      </w:pPr>
      <w:r>
        <w:t>Article 12</w:t>
      </w:r>
      <w:r w:rsidR="009E3E32">
        <w:t xml:space="preserve"> : Dispensation des dispositifs médicaux</w:t>
      </w:r>
    </w:p>
    <w:p w:rsidR="009E3E32" w:rsidRDefault="00B41FD4" w:rsidP="00BB45FD">
      <w:pPr>
        <w:spacing w:after="120" w:line="240" w:lineRule="auto"/>
      </w:pPr>
      <w:r>
        <w:t>Article 13</w:t>
      </w:r>
      <w:r w:rsidR="009E3E32">
        <w:t xml:space="preserve"> : Gestion des déchets</w:t>
      </w:r>
    </w:p>
    <w:p w:rsidR="00F60EBD" w:rsidRDefault="00F60EBD" w:rsidP="00BB45FD">
      <w:pPr>
        <w:spacing w:after="120" w:line="240" w:lineRule="auto"/>
      </w:pPr>
      <w:r>
        <w:t>Article 14 : Retour des chimiothérapies non administrées</w:t>
      </w:r>
    </w:p>
    <w:p w:rsidR="009E3E32" w:rsidRDefault="00F60EBD" w:rsidP="00BB45FD">
      <w:pPr>
        <w:spacing w:after="120" w:line="240" w:lineRule="auto"/>
      </w:pPr>
      <w:r>
        <w:t>Article 15</w:t>
      </w:r>
      <w:r w:rsidR="009E3E32">
        <w:t xml:space="preserve"> : Engagement des acteurs de santé</w:t>
      </w:r>
    </w:p>
    <w:p w:rsidR="009E3E32" w:rsidRDefault="00F60EBD" w:rsidP="00BB45FD">
      <w:pPr>
        <w:spacing w:after="120" w:line="240" w:lineRule="auto"/>
      </w:pPr>
      <w:r>
        <w:t>Article 16</w:t>
      </w:r>
      <w:r w:rsidR="009E3E32">
        <w:t xml:space="preserve"> : Date d’effet </w:t>
      </w:r>
    </w:p>
    <w:p w:rsidR="009E3E32" w:rsidRDefault="00F60EBD" w:rsidP="00BB45FD">
      <w:pPr>
        <w:spacing w:after="120" w:line="240" w:lineRule="auto"/>
      </w:pPr>
      <w:r>
        <w:t>Article 17</w:t>
      </w:r>
      <w:r w:rsidR="009E3E32">
        <w:t xml:space="preserve"> : Délai de validité de la convention </w:t>
      </w:r>
    </w:p>
    <w:p w:rsidR="00BB45FD" w:rsidRPr="00D5216E" w:rsidRDefault="00F60EBD" w:rsidP="00D5216E">
      <w:pPr>
        <w:spacing w:line="240" w:lineRule="auto"/>
      </w:pPr>
      <w:r>
        <w:t>Article 18</w:t>
      </w:r>
      <w:r w:rsidR="009E3E32">
        <w:t xml:space="preserve"> : Révision et dénonciation</w:t>
      </w:r>
    </w:p>
    <w:sectPr w:rsidR="00BB45FD" w:rsidRPr="00D521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4F0" w:rsidRDefault="007114F0" w:rsidP="007114F0">
      <w:pPr>
        <w:spacing w:after="0" w:line="240" w:lineRule="auto"/>
      </w:pPr>
      <w:r>
        <w:separator/>
      </w:r>
    </w:p>
  </w:endnote>
  <w:endnote w:type="continuationSeparator" w:id="0">
    <w:p w:rsidR="007114F0" w:rsidRDefault="007114F0" w:rsidP="0071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4F0" w:rsidRDefault="007114F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4F0" w:rsidRDefault="007114F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4F0" w:rsidRDefault="007114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4F0" w:rsidRDefault="007114F0" w:rsidP="007114F0">
      <w:pPr>
        <w:spacing w:after="0" w:line="240" w:lineRule="auto"/>
      </w:pPr>
      <w:r>
        <w:separator/>
      </w:r>
    </w:p>
  </w:footnote>
  <w:footnote w:type="continuationSeparator" w:id="0">
    <w:p w:rsidR="007114F0" w:rsidRDefault="007114F0" w:rsidP="00711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4F0" w:rsidRDefault="007114F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4F0" w:rsidRDefault="007114F0">
    <w:pPr>
      <w:pStyle w:val="En-tte"/>
    </w:pPr>
    <w:r>
      <w:tab/>
    </w:r>
    <w:r>
      <w:tab/>
      <w:t xml:space="preserve">Juin </w:t>
    </w:r>
    <w:r>
      <w:t>2023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4F0" w:rsidRDefault="007114F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32"/>
    <w:rsid w:val="00110188"/>
    <w:rsid w:val="007114F0"/>
    <w:rsid w:val="007D392C"/>
    <w:rsid w:val="009E3E32"/>
    <w:rsid w:val="00B41FD4"/>
    <w:rsid w:val="00BB45FD"/>
    <w:rsid w:val="00C04657"/>
    <w:rsid w:val="00C90BE0"/>
    <w:rsid w:val="00D5216E"/>
    <w:rsid w:val="00E47446"/>
    <w:rsid w:val="00F6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3EC8"/>
  <w15:chartTrackingRefBased/>
  <w15:docId w15:val="{BDA97562-E50E-4B25-B5E1-1BD66473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1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14F0"/>
  </w:style>
  <w:style w:type="paragraph" w:styleId="Pieddepage">
    <w:name w:val="footer"/>
    <w:basedOn w:val="Normal"/>
    <w:link w:val="PieddepageCar"/>
    <w:uiPriority w:val="99"/>
    <w:unhideWhenUsed/>
    <w:rsid w:val="00711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1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LABAT</dc:creator>
  <cp:keywords/>
  <dc:description/>
  <cp:lastModifiedBy>LABAT, Carole (ARS-PACA/DPRS/OMEDIT)</cp:lastModifiedBy>
  <cp:revision>4</cp:revision>
  <cp:lastPrinted>2023-07-25T13:51:00Z</cp:lastPrinted>
  <dcterms:created xsi:type="dcterms:W3CDTF">2023-05-30T08:02:00Z</dcterms:created>
  <dcterms:modified xsi:type="dcterms:W3CDTF">2023-07-25T13:52:00Z</dcterms:modified>
</cp:coreProperties>
</file>